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7E902" w14:textId="3DF8C76A" w:rsidR="006D4AE8" w:rsidRPr="002C2822" w:rsidRDefault="006D4AE8" w:rsidP="002C2822">
      <w:pPr>
        <w:pStyle w:val="BodyText"/>
        <w:tabs>
          <w:tab w:val="left" w:pos="9360"/>
        </w:tabs>
        <w:rPr>
          <w:b/>
          <w:szCs w:val="22"/>
        </w:rPr>
      </w:pPr>
      <w:r w:rsidRPr="002C2822">
        <w:rPr>
          <w:b/>
          <w:szCs w:val="22"/>
        </w:rPr>
        <w:t xml:space="preserve">TV </w:t>
      </w:r>
      <w:r w:rsidR="002C2822">
        <w:rPr>
          <w:b/>
          <w:szCs w:val="22"/>
        </w:rPr>
        <w:t>W</w:t>
      </w:r>
      <w:r w:rsidRPr="002C2822">
        <w:rPr>
          <w:b/>
          <w:szCs w:val="22"/>
        </w:rPr>
        <w:t xml:space="preserve">ebsite </w:t>
      </w:r>
      <w:r w:rsidR="002C2822">
        <w:rPr>
          <w:b/>
          <w:szCs w:val="22"/>
        </w:rPr>
        <w:t>P</w:t>
      </w:r>
      <w:r w:rsidRPr="002C2822">
        <w:rPr>
          <w:b/>
          <w:szCs w:val="22"/>
        </w:rPr>
        <w:t>rofitability</w:t>
      </w:r>
      <w:r w:rsidR="002C2822" w:rsidRPr="002C2822">
        <w:rPr>
          <w:b/>
          <w:szCs w:val="22"/>
        </w:rPr>
        <w:t xml:space="preserve"> </w:t>
      </w:r>
      <w:r w:rsidR="002C2822">
        <w:rPr>
          <w:b/>
          <w:szCs w:val="22"/>
        </w:rPr>
        <w:t>D</w:t>
      </w:r>
      <w:r w:rsidR="002C2822" w:rsidRPr="002C2822">
        <w:rPr>
          <w:b/>
          <w:szCs w:val="22"/>
        </w:rPr>
        <w:t>rops</w:t>
      </w:r>
    </w:p>
    <w:p w14:paraId="6E97F0DB" w14:textId="32867020" w:rsidR="002C2822" w:rsidRPr="002C2822" w:rsidRDefault="002C2822" w:rsidP="002C2822">
      <w:pPr>
        <w:pStyle w:val="BodyText"/>
        <w:tabs>
          <w:tab w:val="left" w:pos="9360"/>
        </w:tabs>
        <w:rPr>
          <w:szCs w:val="22"/>
        </w:rPr>
      </w:pPr>
      <w:proofErr w:type="gramStart"/>
      <w:r w:rsidRPr="002C2822">
        <w:rPr>
          <w:b/>
          <w:szCs w:val="22"/>
        </w:rPr>
        <w:t>by</w:t>
      </w:r>
      <w:proofErr w:type="gramEnd"/>
      <w:r w:rsidRPr="002C2822">
        <w:rPr>
          <w:b/>
          <w:szCs w:val="22"/>
        </w:rPr>
        <w:t xml:space="preserve"> Bob Papper</w:t>
      </w:r>
    </w:p>
    <w:p w14:paraId="2302B76A" w14:textId="77777777" w:rsidR="006D4AE8" w:rsidRPr="002C2822" w:rsidRDefault="006D4AE8" w:rsidP="002C2822">
      <w:pPr>
        <w:pStyle w:val="BodyText"/>
        <w:tabs>
          <w:tab w:val="left" w:pos="9360"/>
        </w:tabs>
        <w:rPr>
          <w:szCs w:val="22"/>
        </w:rPr>
      </w:pPr>
    </w:p>
    <w:p w14:paraId="3A4319A3" w14:textId="57922A95" w:rsidR="006D4AE8" w:rsidRPr="002C2822" w:rsidRDefault="006D4AE8" w:rsidP="002C2822">
      <w:pPr>
        <w:pStyle w:val="BodyText"/>
        <w:tabs>
          <w:tab w:val="left" w:pos="9360"/>
        </w:tabs>
        <w:rPr>
          <w:szCs w:val="22"/>
        </w:rPr>
      </w:pPr>
      <w:r w:rsidRPr="002C2822">
        <w:rPr>
          <w:szCs w:val="22"/>
        </w:rPr>
        <w:t xml:space="preserve">This past year saw a drop in website profitability – down almost 6 points from a year ago. </w:t>
      </w:r>
      <w:r w:rsidR="006C6486">
        <w:rPr>
          <w:szCs w:val="22"/>
        </w:rPr>
        <w:t xml:space="preserve"> The latest RTDNA/Hofstra University Survey found that p</w:t>
      </w:r>
      <w:r w:rsidR="006C6486">
        <w:rPr>
          <w:vanish/>
          <w:szCs w:val="22"/>
        </w:rPr>
        <w:t>ofstra H</w:t>
      </w:r>
      <w:r w:rsidRPr="002C2822">
        <w:rPr>
          <w:szCs w:val="22"/>
        </w:rPr>
        <w:t xml:space="preserve">retty much all of the difference went into the “don’t know” category, with breaking even staying the same and loss dropping nearly 2 points.  </w:t>
      </w:r>
      <w:r w:rsidR="001161F0" w:rsidRPr="002C2822">
        <w:rPr>
          <w:szCs w:val="22"/>
        </w:rPr>
        <w:t>Either fewer news directors are aware of station or</w:t>
      </w:r>
      <w:r w:rsidR="002C2822" w:rsidRPr="002C2822">
        <w:rPr>
          <w:szCs w:val="22"/>
        </w:rPr>
        <w:t xml:space="preserve"> website profitability or I’m just getting more surveys from those who don’t know.</w:t>
      </w:r>
      <w:r w:rsidRPr="002C2822">
        <w:rPr>
          <w:szCs w:val="22"/>
        </w:rPr>
        <w:t xml:space="preserve"> </w:t>
      </w:r>
    </w:p>
    <w:p w14:paraId="3B3B6648" w14:textId="77777777" w:rsidR="006D4AE8" w:rsidRDefault="006D4AE8" w:rsidP="002C2822">
      <w:pPr>
        <w:pStyle w:val="BodyText"/>
        <w:tabs>
          <w:tab w:val="left" w:pos="9360"/>
        </w:tabs>
        <w:rPr>
          <w:szCs w:val="22"/>
        </w:rPr>
      </w:pPr>
    </w:p>
    <w:p w14:paraId="38EBCDFF" w14:textId="77777777" w:rsidR="002C2822" w:rsidRPr="002C2822" w:rsidRDefault="002C2822" w:rsidP="002C2822">
      <w:pPr>
        <w:pStyle w:val="BodyText"/>
        <w:tabs>
          <w:tab w:val="left" w:pos="9360"/>
        </w:tabs>
        <w:rPr>
          <w:szCs w:val="22"/>
        </w:rPr>
      </w:pPr>
    </w:p>
    <w:p w14:paraId="70CFB511" w14:textId="77777777" w:rsidR="006D4AE8" w:rsidRPr="002C2822" w:rsidRDefault="006D4AE8" w:rsidP="002C2822">
      <w:pPr>
        <w:outlineLvl w:val="0"/>
        <w:rPr>
          <w:b/>
          <w:sz w:val="22"/>
          <w:szCs w:val="22"/>
        </w:rPr>
      </w:pPr>
      <w:r w:rsidRPr="002C2822">
        <w:rPr>
          <w:b/>
          <w:sz w:val="22"/>
          <w:szCs w:val="22"/>
        </w:rPr>
        <w:t xml:space="preserve">Is the TV website making money?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054"/>
        <w:gridCol w:w="1710"/>
        <w:gridCol w:w="1016"/>
        <w:gridCol w:w="1440"/>
      </w:tblGrid>
      <w:tr w:rsidR="006D4AE8" w:rsidRPr="002C2822" w14:paraId="5E7B47DE" w14:textId="77777777" w:rsidTr="000C557E">
        <w:trPr>
          <w:trHeight w:val="350"/>
        </w:trPr>
        <w:tc>
          <w:tcPr>
            <w:tcW w:w="1998" w:type="dxa"/>
          </w:tcPr>
          <w:p w14:paraId="6B623001" w14:textId="77777777" w:rsidR="006D4AE8" w:rsidRPr="002C2822" w:rsidRDefault="006D4AE8" w:rsidP="002C2822">
            <w:pPr>
              <w:rPr>
                <w:sz w:val="22"/>
                <w:szCs w:val="22"/>
              </w:rPr>
            </w:pPr>
          </w:p>
        </w:tc>
        <w:tc>
          <w:tcPr>
            <w:tcW w:w="1054" w:type="dxa"/>
          </w:tcPr>
          <w:p w14:paraId="30D886AF" w14:textId="77777777" w:rsidR="006D4AE8" w:rsidRPr="002C2822" w:rsidRDefault="006D4AE8" w:rsidP="002C2822">
            <w:pPr>
              <w:jc w:val="center"/>
              <w:rPr>
                <w:sz w:val="22"/>
                <w:szCs w:val="22"/>
              </w:rPr>
            </w:pPr>
            <w:r w:rsidRPr="002C2822">
              <w:rPr>
                <w:sz w:val="22"/>
                <w:szCs w:val="22"/>
              </w:rPr>
              <w:t>Profit</w:t>
            </w:r>
          </w:p>
        </w:tc>
        <w:tc>
          <w:tcPr>
            <w:tcW w:w="1710" w:type="dxa"/>
          </w:tcPr>
          <w:p w14:paraId="7DB3A5D6" w14:textId="77777777" w:rsidR="006D4AE8" w:rsidRPr="002C2822" w:rsidRDefault="006D4AE8" w:rsidP="002C2822">
            <w:pPr>
              <w:jc w:val="center"/>
              <w:rPr>
                <w:sz w:val="22"/>
                <w:szCs w:val="22"/>
              </w:rPr>
            </w:pPr>
            <w:r w:rsidRPr="002C2822">
              <w:rPr>
                <w:sz w:val="22"/>
                <w:szCs w:val="22"/>
              </w:rPr>
              <w:t>Breaking Even</w:t>
            </w:r>
          </w:p>
        </w:tc>
        <w:tc>
          <w:tcPr>
            <w:tcW w:w="1016" w:type="dxa"/>
          </w:tcPr>
          <w:p w14:paraId="6FEE00C5" w14:textId="77777777" w:rsidR="006D4AE8" w:rsidRPr="002C2822" w:rsidRDefault="006D4AE8" w:rsidP="002C2822">
            <w:pPr>
              <w:jc w:val="center"/>
              <w:rPr>
                <w:sz w:val="22"/>
                <w:szCs w:val="22"/>
              </w:rPr>
            </w:pPr>
            <w:r w:rsidRPr="002C2822">
              <w:rPr>
                <w:sz w:val="22"/>
                <w:szCs w:val="22"/>
              </w:rPr>
              <w:t>Loss</w:t>
            </w:r>
          </w:p>
        </w:tc>
        <w:tc>
          <w:tcPr>
            <w:tcW w:w="1440" w:type="dxa"/>
          </w:tcPr>
          <w:p w14:paraId="18A0737D" w14:textId="77777777" w:rsidR="006D4AE8" w:rsidRPr="002C2822" w:rsidRDefault="006D4AE8" w:rsidP="002C2822">
            <w:pPr>
              <w:jc w:val="center"/>
              <w:rPr>
                <w:sz w:val="22"/>
                <w:szCs w:val="22"/>
              </w:rPr>
            </w:pPr>
            <w:r w:rsidRPr="002C2822">
              <w:rPr>
                <w:sz w:val="22"/>
                <w:szCs w:val="22"/>
              </w:rPr>
              <w:t>Don’t Know</w:t>
            </w:r>
          </w:p>
        </w:tc>
      </w:tr>
      <w:tr w:rsidR="006D4AE8" w:rsidRPr="002C2822" w14:paraId="49C01CA2" w14:textId="77777777" w:rsidTr="000C557E">
        <w:tc>
          <w:tcPr>
            <w:tcW w:w="1998" w:type="dxa"/>
          </w:tcPr>
          <w:p w14:paraId="3A80F819" w14:textId="77777777" w:rsidR="006D4AE8" w:rsidRPr="002C2822" w:rsidRDefault="006D4AE8" w:rsidP="002C2822">
            <w:pPr>
              <w:rPr>
                <w:sz w:val="22"/>
                <w:szCs w:val="22"/>
              </w:rPr>
            </w:pPr>
            <w:r w:rsidRPr="002C2822">
              <w:rPr>
                <w:sz w:val="22"/>
                <w:szCs w:val="22"/>
              </w:rPr>
              <w:t>All TV</w:t>
            </w:r>
          </w:p>
        </w:tc>
        <w:tc>
          <w:tcPr>
            <w:tcW w:w="1054" w:type="dxa"/>
          </w:tcPr>
          <w:p w14:paraId="00BAB8DE" w14:textId="64C5E9AB" w:rsidR="006D4AE8" w:rsidRPr="002C2822" w:rsidRDefault="002C2822" w:rsidP="002C2822">
            <w:pPr>
              <w:jc w:val="center"/>
              <w:rPr>
                <w:sz w:val="22"/>
                <w:szCs w:val="22"/>
              </w:rPr>
            </w:pPr>
            <w:r w:rsidRPr="002C2822">
              <w:rPr>
                <w:sz w:val="22"/>
                <w:szCs w:val="22"/>
              </w:rPr>
              <w:t xml:space="preserve">40.7% </w:t>
            </w:r>
            <w:r w:rsidR="006D4AE8" w:rsidRPr="002C2822">
              <w:rPr>
                <w:sz w:val="22"/>
                <w:szCs w:val="22"/>
              </w:rPr>
              <w:t xml:space="preserve"> </w:t>
            </w:r>
          </w:p>
        </w:tc>
        <w:tc>
          <w:tcPr>
            <w:tcW w:w="1710" w:type="dxa"/>
          </w:tcPr>
          <w:p w14:paraId="1652D1B3" w14:textId="76343C4B" w:rsidR="006D4AE8" w:rsidRPr="002C2822" w:rsidRDefault="002C2822" w:rsidP="002C2822">
            <w:pPr>
              <w:jc w:val="center"/>
              <w:rPr>
                <w:sz w:val="22"/>
                <w:szCs w:val="22"/>
              </w:rPr>
            </w:pPr>
            <w:r w:rsidRPr="002C2822">
              <w:rPr>
                <w:sz w:val="22"/>
                <w:szCs w:val="22"/>
              </w:rPr>
              <w:t xml:space="preserve">10.1% </w:t>
            </w:r>
            <w:r w:rsidR="006D4AE8" w:rsidRPr="002C2822">
              <w:rPr>
                <w:sz w:val="22"/>
                <w:szCs w:val="22"/>
              </w:rPr>
              <w:t xml:space="preserve"> </w:t>
            </w:r>
          </w:p>
        </w:tc>
        <w:tc>
          <w:tcPr>
            <w:tcW w:w="1016" w:type="dxa"/>
          </w:tcPr>
          <w:p w14:paraId="02438A96" w14:textId="2D14DD51" w:rsidR="006D4AE8" w:rsidRPr="002C2822" w:rsidRDefault="002C2822" w:rsidP="002C2822">
            <w:pPr>
              <w:jc w:val="center"/>
              <w:rPr>
                <w:sz w:val="22"/>
                <w:szCs w:val="22"/>
              </w:rPr>
            </w:pPr>
            <w:r w:rsidRPr="002C2822">
              <w:rPr>
                <w:sz w:val="22"/>
                <w:szCs w:val="22"/>
              </w:rPr>
              <w:t xml:space="preserve">6% </w:t>
            </w:r>
            <w:r w:rsidR="006D4AE8" w:rsidRPr="002C2822">
              <w:rPr>
                <w:sz w:val="22"/>
                <w:szCs w:val="22"/>
              </w:rPr>
              <w:t xml:space="preserve"> </w:t>
            </w:r>
          </w:p>
        </w:tc>
        <w:tc>
          <w:tcPr>
            <w:tcW w:w="1440" w:type="dxa"/>
          </w:tcPr>
          <w:p w14:paraId="74285134" w14:textId="50056EA2" w:rsidR="006D4AE8" w:rsidRPr="002C2822" w:rsidRDefault="002C2822" w:rsidP="002C2822">
            <w:pPr>
              <w:jc w:val="center"/>
              <w:rPr>
                <w:sz w:val="22"/>
                <w:szCs w:val="22"/>
              </w:rPr>
            </w:pPr>
            <w:r w:rsidRPr="002C2822">
              <w:rPr>
                <w:sz w:val="22"/>
                <w:szCs w:val="22"/>
              </w:rPr>
              <w:t xml:space="preserve">43.3% </w:t>
            </w:r>
            <w:r w:rsidR="006D4AE8" w:rsidRPr="002C2822">
              <w:rPr>
                <w:sz w:val="22"/>
                <w:szCs w:val="22"/>
              </w:rPr>
              <w:t xml:space="preserve"> </w:t>
            </w:r>
          </w:p>
        </w:tc>
      </w:tr>
      <w:tr w:rsidR="006D4AE8" w:rsidRPr="002C2822" w14:paraId="134447B7" w14:textId="77777777" w:rsidTr="000C557E">
        <w:tc>
          <w:tcPr>
            <w:tcW w:w="1998" w:type="dxa"/>
          </w:tcPr>
          <w:p w14:paraId="6A1758D4" w14:textId="77777777" w:rsidR="006D4AE8" w:rsidRPr="002C2822" w:rsidRDefault="006D4AE8" w:rsidP="002C2822">
            <w:pPr>
              <w:rPr>
                <w:sz w:val="22"/>
                <w:szCs w:val="22"/>
              </w:rPr>
            </w:pPr>
            <w:r w:rsidRPr="002C2822">
              <w:rPr>
                <w:sz w:val="22"/>
                <w:szCs w:val="22"/>
              </w:rPr>
              <w:t>Markets 1-25</w:t>
            </w:r>
          </w:p>
        </w:tc>
        <w:tc>
          <w:tcPr>
            <w:tcW w:w="1054" w:type="dxa"/>
          </w:tcPr>
          <w:p w14:paraId="1CB79F06" w14:textId="0FF2CCFB" w:rsidR="006D4AE8" w:rsidRPr="002C2822" w:rsidRDefault="002C2822" w:rsidP="002C2822">
            <w:pPr>
              <w:jc w:val="center"/>
              <w:rPr>
                <w:sz w:val="22"/>
                <w:szCs w:val="22"/>
              </w:rPr>
            </w:pPr>
            <w:r w:rsidRPr="002C2822">
              <w:rPr>
                <w:sz w:val="22"/>
                <w:szCs w:val="22"/>
              </w:rPr>
              <w:t xml:space="preserve">41 </w:t>
            </w:r>
            <w:r w:rsidR="006D4AE8" w:rsidRPr="002C2822">
              <w:rPr>
                <w:sz w:val="22"/>
                <w:szCs w:val="22"/>
              </w:rPr>
              <w:t xml:space="preserve"> </w:t>
            </w:r>
          </w:p>
        </w:tc>
        <w:tc>
          <w:tcPr>
            <w:tcW w:w="1710" w:type="dxa"/>
          </w:tcPr>
          <w:p w14:paraId="4B5C7322" w14:textId="45003D9C" w:rsidR="006D4AE8" w:rsidRPr="002C2822" w:rsidRDefault="002C2822" w:rsidP="002C2822">
            <w:pPr>
              <w:jc w:val="center"/>
              <w:rPr>
                <w:sz w:val="22"/>
                <w:szCs w:val="22"/>
              </w:rPr>
            </w:pPr>
            <w:r w:rsidRPr="002C2822">
              <w:rPr>
                <w:sz w:val="22"/>
                <w:szCs w:val="22"/>
              </w:rPr>
              <w:t xml:space="preserve">5.1 </w:t>
            </w:r>
            <w:r w:rsidR="006D4AE8" w:rsidRPr="002C2822">
              <w:rPr>
                <w:sz w:val="22"/>
                <w:szCs w:val="22"/>
              </w:rPr>
              <w:t xml:space="preserve"> </w:t>
            </w:r>
          </w:p>
        </w:tc>
        <w:tc>
          <w:tcPr>
            <w:tcW w:w="1016" w:type="dxa"/>
          </w:tcPr>
          <w:p w14:paraId="34B9C3E8" w14:textId="262F1518" w:rsidR="006D4AE8" w:rsidRPr="002C2822" w:rsidRDefault="002C2822" w:rsidP="002C2822">
            <w:pPr>
              <w:jc w:val="center"/>
              <w:rPr>
                <w:sz w:val="22"/>
                <w:szCs w:val="22"/>
              </w:rPr>
            </w:pPr>
            <w:r w:rsidRPr="002C2822">
              <w:rPr>
                <w:sz w:val="22"/>
                <w:szCs w:val="22"/>
              </w:rPr>
              <w:t xml:space="preserve">7.7 </w:t>
            </w:r>
            <w:r w:rsidR="006D4AE8" w:rsidRPr="002C2822">
              <w:rPr>
                <w:sz w:val="22"/>
                <w:szCs w:val="22"/>
              </w:rPr>
              <w:t xml:space="preserve"> </w:t>
            </w:r>
          </w:p>
        </w:tc>
        <w:tc>
          <w:tcPr>
            <w:tcW w:w="1440" w:type="dxa"/>
          </w:tcPr>
          <w:p w14:paraId="559D6BFA" w14:textId="5E3209C0" w:rsidR="006D4AE8" w:rsidRPr="002C2822" w:rsidRDefault="002C2822" w:rsidP="002C2822">
            <w:pPr>
              <w:jc w:val="center"/>
              <w:rPr>
                <w:sz w:val="22"/>
                <w:szCs w:val="22"/>
              </w:rPr>
            </w:pPr>
            <w:r w:rsidRPr="002C2822">
              <w:rPr>
                <w:sz w:val="22"/>
                <w:szCs w:val="22"/>
              </w:rPr>
              <w:t xml:space="preserve">46.2 </w:t>
            </w:r>
            <w:r w:rsidR="006D4AE8" w:rsidRPr="002C2822">
              <w:rPr>
                <w:sz w:val="22"/>
                <w:szCs w:val="22"/>
              </w:rPr>
              <w:t xml:space="preserve"> </w:t>
            </w:r>
          </w:p>
        </w:tc>
      </w:tr>
      <w:tr w:rsidR="006D4AE8" w:rsidRPr="002C2822" w14:paraId="264D5B39" w14:textId="77777777" w:rsidTr="000C557E">
        <w:tc>
          <w:tcPr>
            <w:tcW w:w="1998" w:type="dxa"/>
          </w:tcPr>
          <w:p w14:paraId="3D7FEE8E" w14:textId="77777777" w:rsidR="006D4AE8" w:rsidRPr="002C2822" w:rsidRDefault="006D4AE8" w:rsidP="002C2822">
            <w:pPr>
              <w:rPr>
                <w:sz w:val="22"/>
                <w:szCs w:val="22"/>
              </w:rPr>
            </w:pPr>
            <w:r w:rsidRPr="002C2822">
              <w:rPr>
                <w:sz w:val="22"/>
                <w:szCs w:val="22"/>
              </w:rPr>
              <w:t>Markets 26-50</w:t>
            </w:r>
          </w:p>
        </w:tc>
        <w:tc>
          <w:tcPr>
            <w:tcW w:w="1054" w:type="dxa"/>
          </w:tcPr>
          <w:p w14:paraId="6FEF8477" w14:textId="17C83FC2" w:rsidR="006D4AE8" w:rsidRPr="002C2822" w:rsidRDefault="002C2822" w:rsidP="002C2822">
            <w:pPr>
              <w:jc w:val="center"/>
              <w:rPr>
                <w:sz w:val="22"/>
                <w:szCs w:val="22"/>
              </w:rPr>
            </w:pPr>
            <w:r w:rsidRPr="002C2822">
              <w:rPr>
                <w:sz w:val="22"/>
                <w:szCs w:val="22"/>
              </w:rPr>
              <w:t xml:space="preserve">41 </w:t>
            </w:r>
            <w:r w:rsidR="006D4AE8" w:rsidRPr="002C2822">
              <w:rPr>
                <w:sz w:val="22"/>
                <w:szCs w:val="22"/>
              </w:rPr>
              <w:t xml:space="preserve">  </w:t>
            </w:r>
          </w:p>
        </w:tc>
        <w:tc>
          <w:tcPr>
            <w:tcW w:w="1710" w:type="dxa"/>
          </w:tcPr>
          <w:p w14:paraId="52B9C2FD" w14:textId="02CA1C76" w:rsidR="006D4AE8" w:rsidRPr="002C2822" w:rsidRDefault="002C2822" w:rsidP="002C2822">
            <w:pPr>
              <w:jc w:val="center"/>
              <w:rPr>
                <w:sz w:val="22"/>
                <w:szCs w:val="22"/>
              </w:rPr>
            </w:pPr>
            <w:r w:rsidRPr="002C2822">
              <w:rPr>
                <w:sz w:val="22"/>
                <w:szCs w:val="22"/>
              </w:rPr>
              <w:t xml:space="preserve">12.8 </w:t>
            </w:r>
            <w:r w:rsidR="006D4AE8" w:rsidRPr="002C2822">
              <w:rPr>
                <w:sz w:val="22"/>
                <w:szCs w:val="22"/>
              </w:rPr>
              <w:t xml:space="preserve"> </w:t>
            </w:r>
          </w:p>
        </w:tc>
        <w:tc>
          <w:tcPr>
            <w:tcW w:w="1016" w:type="dxa"/>
          </w:tcPr>
          <w:p w14:paraId="3B7A4432" w14:textId="456F22F2" w:rsidR="006D4AE8" w:rsidRPr="002C2822" w:rsidRDefault="002C2822" w:rsidP="002C2822">
            <w:pPr>
              <w:jc w:val="center"/>
              <w:rPr>
                <w:sz w:val="22"/>
                <w:szCs w:val="22"/>
              </w:rPr>
            </w:pPr>
            <w:r w:rsidRPr="002C2822">
              <w:rPr>
                <w:sz w:val="22"/>
                <w:szCs w:val="22"/>
              </w:rPr>
              <w:t xml:space="preserve">5.1 </w:t>
            </w:r>
            <w:r w:rsidR="006D4AE8" w:rsidRPr="002C2822">
              <w:rPr>
                <w:sz w:val="22"/>
                <w:szCs w:val="22"/>
              </w:rPr>
              <w:t xml:space="preserve"> </w:t>
            </w:r>
          </w:p>
        </w:tc>
        <w:tc>
          <w:tcPr>
            <w:tcW w:w="1440" w:type="dxa"/>
          </w:tcPr>
          <w:p w14:paraId="5C96F54C" w14:textId="02D4D75D" w:rsidR="006D4AE8" w:rsidRPr="002C2822" w:rsidRDefault="002C2822" w:rsidP="002C2822">
            <w:pPr>
              <w:jc w:val="center"/>
              <w:rPr>
                <w:sz w:val="22"/>
                <w:szCs w:val="22"/>
              </w:rPr>
            </w:pPr>
            <w:r w:rsidRPr="002C2822">
              <w:rPr>
                <w:sz w:val="22"/>
                <w:szCs w:val="22"/>
              </w:rPr>
              <w:t xml:space="preserve">41 </w:t>
            </w:r>
            <w:r w:rsidR="006D4AE8" w:rsidRPr="002C2822">
              <w:rPr>
                <w:sz w:val="22"/>
                <w:szCs w:val="22"/>
              </w:rPr>
              <w:t xml:space="preserve"> </w:t>
            </w:r>
          </w:p>
        </w:tc>
      </w:tr>
      <w:tr w:rsidR="006D4AE8" w:rsidRPr="002C2822" w14:paraId="0034BAF2" w14:textId="77777777" w:rsidTr="000C557E">
        <w:tc>
          <w:tcPr>
            <w:tcW w:w="1998" w:type="dxa"/>
          </w:tcPr>
          <w:p w14:paraId="00B161CB" w14:textId="77777777" w:rsidR="006D4AE8" w:rsidRPr="002C2822" w:rsidRDefault="006D4AE8" w:rsidP="002C2822">
            <w:pPr>
              <w:rPr>
                <w:sz w:val="22"/>
                <w:szCs w:val="22"/>
              </w:rPr>
            </w:pPr>
            <w:r w:rsidRPr="002C2822">
              <w:rPr>
                <w:sz w:val="22"/>
                <w:szCs w:val="22"/>
              </w:rPr>
              <w:t>Markets 51-100</w:t>
            </w:r>
          </w:p>
        </w:tc>
        <w:tc>
          <w:tcPr>
            <w:tcW w:w="1054" w:type="dxa"/>
          </w:tcPr>
          <w:p w14:paraId="3001522F" w14:textId="17E2321F" w:rsidR="006D4AE8" w:rsidRPr="002C2822" w:rsidRDefault="002C2822" w:rsidP="002C2822">
            <w:pPr>
              <w:jc w:val="center"/>
              <w:rPr>
                <w:sz w:val="22"/>
                <w:szCs w:val="22"/>
              </w:rPr>
            </w:pPr>
            <w:r w:rsidRPr="002C2822">
              <w:rPr>
                <w:sz w:val="22"/>
                <w:szCs w:val="22"/>
              </w:rPr>
              <w:t xml:space="preserve">50.7 </w:t>
            </w:r>
            <w:r w:rsidR="006D4AE8" w:rsidRPr="002C2822">
              <w:rPr>
                <w:sz w:val="22"/>
                <w:szCs w:val="22"/>
              </w:rPr>
              <w:t xml:space="preserve"> </w:t>
            </w:r>
          </w:p>
        </w:tc>
        <w:tc>
          <w:tcPr>
            <w:tcW w:w="1710" w:type="dxa"/>
          </w:tcPr>
          <w:p w14:paraId="3DBA99B6" w14:textId="7B606399" w:rsidR="006D4AE8" w:rsidRPr="002C2822" w:rsidRDefault="002C2822" w:rsidP="002C2822">
            <w:pPr>
              <w:jc w:val="center"/>
              <w:rPr>
                <w:sz w:val="22"/>
                <w:szCs w:val="22"/>
              </w:rPr>
            </w:pPr>
            <w:r w:rsidRPr="002C2822">
              <w:rPr>
                <w:sz w:val="22"/>
                <w:szCs w:val="22"/>
              </w:rPr>
              <w:t xml:space="preserve">9.3 </w:t>
            </w:r>
            <w:r w:rsidR="006D4AE8" w:rsidRPr="002C2822">
              <w:rPr>
                <w:sz w:val="22"/>
                <w:szCs w:val="22"/>
              </w:rPr>
              <w:t xml:space="preserve"> </w:t>
            </w:r>
          </w:p>
        </w:tc>
        <w:tc>
          <w:tcPr>
            <w:tcW w:w="1016" w:type="dxa"/>
          </w:tcPr>
          <w:p w14:paraId="3AA7A8C8" w14:textId="5536E124" w:rsidR="006D4AE8" w:rsidRPr="002C2822" w:rsidRDefault="002C2822" w:rsidP="002C2822">
            <w:pPr>
              <w:jc w:val="center"/>
              <w:rPr>
                <w:sz w:val="22"/>
                <w:szCs w:val="22"/>
              </w:rPr>
            </w:pPr>
            <w:r w:rsidRPr="002C2822">
              <w:rPr>
                <w:sz w:val="22"/>
                <w:szCs w:val="22"/>
              </w:rPr>
              <w:t xml:space="preserve">2.7 </w:t>
            </w:r>
            <w:r w:rsidR="006D4AE8" w:rsidRPr="002C2822">
              <w:rPr>
                <w:sz w:val="22"/>
                <w:szCs w:val="22"/>
              </w:rPr>
              <w:t xml:space="preserve"> </w:t>
            </w:r>
          </w:p>
        </w:tc>
        <w:tc>
          <w:tcPr>
            <w:tcW w:w="1440" w:type="dxa"/>
          </w:tcPr>
          <w:p w14:paraId="4D02D1BA" w14:textId="64144109" w:rsidR="006D4AE8" w:rsidRPr="002C2822" w:rsidRDefault="002C2822" w:rsidP="002C2822">
            <w:pPr>
              <w:jc w:val="center"/>
              <w:rPr>
                <w:sz w:val="22"/>
                <w:szCs w:val="22"/>
              </w:rPr>
            </w:pPr>
            <w:r w:rsidRPr="002C2822">
              <w:rPr>
                <w:sz w:val="22"/>
                <w:szCs w:val="22"/>
              </w:rPr>
              <w:t xml:space="preserve">37.3 </w:t>
            </w:r>
            <w:r w:rsidR="006D4AE8" w:rsidRPr="002C2822">
              <w:rPr>
                <w:sz w:val="22"/>
                <w:szCs w:val="22"/>
              </w:rPr>
              <w:t xml:space="preserve"> </w:t>
            </w:r>
          </w:p>
        </w:tc>
      </w:tr>
      <w:tr w:rsidR="006D4AE8" w:rsidRPr="002C2822" w14:paraId="4D19B091" w14:textId="77777777" w:rsidTr="000C557E">
        <w:tc>
          <w:tcPr>
            <w:tcW w:w="1998" w:type="dxa"/>
          </w:tcPr>
          <w:p w14:paraId="01F47863" w14:textId="77777777" w:rsidR="006D4AE8" w:rsidRPr="002C2822" w:rsidRDefault="006D4AE8" w:rsidP="002C2822">
            <w:pPr>
              <w:rPr>
                <w:sz w:val="22"/>
                <w:szCs w:val="22"/>
              </w:rPr>
            </w:pPr>
            <w:r w:rsidRPr="002C2822">
              <w:rPr>
                <w:sz w:val="22"/>
                <w:szCs w:val="22"/>
              </w:rPr>
              <w:t>Markets 101-150</w:t>
            </w:r>
          </w:p>
        </w:tc>
        <w:tc>
          <w:tcPr>
            <w:tcW w:w="1054" w:type="dxa"/>
          </w:tcPr>
          <w:p w14:paraId="1ABB105C" w14:textId="4CA87762" w:rsidR="006D4AE8" w:rsidRPr="002C2822" w:rsidRDefault="002C2822" w:rsidP="002C2822">
            <w:pPr>
              <w:jc w:val="center"/>
              <w:rPr>
                <w:sz w:val="22"/>
                <w:szCs w:val="22"/>
              </w:rPr>
            </w:pPr>
            <w:r w:rsidRPr="002C2822">
              <w:rPr>
                <w:sz w:val="22"/>
                <w:szCs w:val="22"/>
              </w:rPr>
              <w:t xml:space="preserve">33.9 </w:t>
            </w:r>
            <w:r w:rsidR="006D4AE8" w:rsidRPr="002C2822">
              <w:rPr>
                <w:sz w:val="22"/>
                <w:szCs w:val="22"/>
              </w:rPr>
              <w:t xml:space="preserve"> </w:t>
            </w:r>
          </w:p>
        </w:tc>
        <w:tc>
          <w:tcPr>
            <w:tcW w:w="1710" w:type="dxa"/>
          </w:tcPr>
          <w:p w14:paraId="156F6996" w14:textId="5F1498DD" w:rsidR="006D4AE8" w:rsidRPr="002C2822" w:rsidRDefault="002C2822" w:rsidP="002C2822">
            <w:pPr>
              <w:jc w:val="center"/>
              <w:rPr>
                <w:sz w:val="22"/>
                <w:szCs w:val="22"/>
              </w:rPr>
            </w:pPr>
            <w:r w:rsidRPr="002C2822">
              <w:rPr>
                <w:sz w:val="22"/>
                <w:szCs w:val="22"/>
              </w:rPr>
              <w:t xml:space="preserve">8.1 </w:t>
            </w:r>
            <w:r w:rsidR="006D4AE8" w:rsidRPr="002C2822">
              <w:rPr>
                <w:sz w:val="22"/>
                <w:szCs w:val="22"/>
              </w:rPr>
              <w:t xml:space="preserve"> </w:t>
            </w:r>
          </w:p>
        </w:tc>
        <w:tc>
          <w:tcPr>
            <w:tcW w:w="1016" w:type="dxa"/>
          </w:tcPr>
          <w:p w14:paraId="6E3260B7" w14:textId="2C63D45A" w:rsidR="006D4AE8" w:rsidRPr="002C2822" w:rsidRDefault="002C2822" w:rsidP="002C2822">
            <w:pPr>
              <w:jc w:val="center"/>
              <w:rPr>
                <w:sz w:val="22"/>
                <w:szCs w:val="22"/>
              </w:rPr>
            </w:pPr>
            <w:r w:rsidRPr="002C2822">
              <w:rPr>
                <w:sz w:val="22"/>
                <w:szCs w:val="22"/>
              </w:rPr>
              <w:t xml:space="preserve">4.8 </w:t>
            </w:r>
            <w:r w:rsidR="006D4AE8" w:rsidRPr="002C2822">
              <w:rPr>
                <w:sz w:val="22"/>
                <w:szCs w:val="22"/>
              </w:rPr>
              <w:t xml:space="preserve">  </w:t>
            </w:r>
          </w:p>
        </w:tc>
        <w:tc>
          <w:tcPr>
            <w:tcW w:w="1440" w:type="dxa"/>
          </w:tcPr>
          <w:p w14:paraId="1DB53E09" w14:textId="17C79F03" w:rsidR="006D4AE8" w:rsidRPr="002C2822" w:rsidRDefault="002C2822" w:rsidP="002C2822">
            <w:pPr>
              <w:jc w:val="center"/>
              <w:rPr>
                <w:sz w:val="22"/>
                <w:szCs w:val="22"/>
              </w:rPr>
            </w:pPr>
            <w:r w:rsidRPr="002C2822">
              <w:rPr>
                <w:sz w:val="22"/>
                <w:szCs w:val="22"/>
              </w:rPr>
              <w:t xml:space="preserve">53.2 </w:t>
            </w:r>
            <w:r w:rsidR="006D4AE8" w:rsidRPr="002C2822">
              <w:rPr>
                <w:sz w:val="22"/>
                <w:szCs w:val="22"/>
              </w:rPr>
              <w:t xml:space="preserve"> </w:t>
            </w:r>
          </w:p>
        </w:tc>
      </w:tr>
      <w:tr w:rsidR="006D4AE8" w:rsidRPr="002C2822" w14:paraId="49579A93" w14:textId="77777777" w:rsidTr="000C557E">
        <w:tc>
          <w:tcPr>
            <w:tcW w:w="1998" w:type="dxa"/>
          </w:tcPr>
          <w:p w14:paraId="6D978796" w14:textId="77777777" w:rsidR="006D4AE8" w:rsidRPr="002C2822" w:rsidRDefault="006D4AE8" w:rsidP="002C2822">
            <w:pPr>
              <w:rPr>
                <w:sz w:val="22"/>
                <w:szCs w:val="22"/>
              </w:rPr>
            </w:pPr>
            <w:r w:rsidRPr="002C2822">
              <w:rPr>
                <w:sz w:val="22"/>
                <w:szCs w:val="22"/>
              </w:rPr>
              <w:t>Markets 151+</w:t>
            </w:r>
          </w:p>
        </w:tc>
        <w:tc>
          <w:tcPr>
            <w:tcW w:w="1054" w:type="dxa"/>
          </w:tcPr>
          <w:p w14:paraId="69396852" w14:textId="15CD59F1" w:rsidR="006D4AE8" w:rsidRPr="002C2822" w:rsidRDefault="002C2822" w:rsidP="002C2822">
            <w:pPr>
              <w:jc w:val="center"/>
              <w:rPr>
                <w:sz w:val="22"/>
                <w:szCs w:val="22"/>
              </w:rPr>
            </w:pPr>
            <w:r w:rsidRPr="002C2822">
              <w:rPr>
                <w:sz w:val="22"/>
                <w:szCs w:val="22"/>
              </w:rPr>
              <w:t xml:space="preserve">34 </w:t>
            </w:r>
            <w:r w:rsidR="006D4AE8" w:rsidRPr="002C2822">
              <w:rPr>
                <w:sz w:val="22"/>
                <w:szCs w:val="22"/>
              </w:rPr>
              <w:t xml:space="preserve"> </w:t>
            </w:r>
          </w:p>
        </w:tc>
        <w:tc>
          <w:tcPr>
            <w:tcW w:w="1710" w:type="dxa"/>
          </w:tcPr>
          <w:p w14:paraId="5A64021B" w14:textId="0F492B88" w:rsidR="006D4AE8" w:rsidRPr="002C2822" w:rsidRDefault="002C2822" w:rsidP="002C2822">
            <w:pPr>
              <w:jc w:val="center"/>
              <w:rPr>
                <w:sz w:val="22"/>
                <w:szCs w:val="22"/>
              </w:rPr>
            </w:pPr>
            <w:r w:rsidRPr="002C2822">
              <w:rPr>
                <w:sz w:val="22"/>
                <w:szCs w:val="22"/>
              </w:rPr>
              <w:t xml:space="preserve">15.1 </w:t>
            </w:r>
            <w:r w:rsidR="006D4AE8" w:rsidRPr="002C2822">
              <w:rPr>
                <w:sz w:val="22"/>
                <w:szCs w:val="22"/>
              </w:rPr>
              <w:t xml:space="preserve"> </w:t>
            </w:r>
          </w:p>
        </w:tc>
        <w:tc>
          <w:tcPr>
            <w:tcW w:w="1016" w:type="dxa"/>
          </w:tcPr>
          <w:p w14:paraId="49B1AA5D" w14:textId="7B79C657" w:rsidR="006D4AE8" w:rsidRPr="002C2822" w:rsidRDefault="002C2822" w:rsidP="002C2822">
            <w:pPr>
              <w:jc w:val="center"/>
              <w:rPr>
                <w:sz w:val="22"/>
                <w:szCs w:val="22"/>
              </w:rPr>
            </w:pPr>
            <w:r w:rsidRPr="002C2822">
              <w:rPr>
                <w:sz w:val="22"/>
                <w:szCs w:val="22"/>
              </w:rPr>
              <w:t xml:space="preserve">11.3 </w:t>
            </w:r>
            <w:r w:rsidR="006D4AE8" w:rsidRPr="002C2822">
              <w:rPr>
                <w:sz w:val="22"/>
                <w:szCs w:val="22"/>
              </w:rPr>
              <w:t xml:space="preserve"> </w:t>
            </w:r>
          </w:p>
        </w:tc>
        <w:tc>
          <w:tcPr>
            <w:tcW w:w="1440" w:type="dxa"/>
          </w:tcPr>
          <w:p w14:paraId="3FE1827C" w14:textId="3674CF55" w:rsidR="006D4AE8" w:rsidRPr="002C2822" w:rsidRDefault="002C2822" w:rsidP="002C2822">
            <w:pPr>
              <w:jc w:val="center"/>
              <w:rPr>
                <w:sz w:val="22"/>
                <w:szCs w:val="22"/>
              </w:rPr>
            </w:pPr>
            <w:r w:rsidRPr="002C2822">
              <w:rPr>
                <w:sz w:val="22"/>
                <w:szCs w:val="22"/>
              </w:rPr>
              <w:t xml:space="preserve">39.6 </w:t>
            </w:r>
            <w:r w:rsidR="006D4AE8" w:rsidRPr="002C2822">
              <w:rPr>
                <w:sz w:val="22"/>
                <w:szCs w:val="22"/>
              </w:rPr>
              <w:t xml:space="preserve">  </w:t>
            </w:r>
          </w:p>
        </w:tc>
      </w:tr>
    </w:tbl>
    <w:p w14:paraId="40D1D6D7" w14:textId="77777777" w:rsidR="006D4AE8" w:rsidRDefault="006D4AE8" w:rsidP="002C2822">
      <w:pPr>
        <w:rPr>
          <w:sz w:val="22"/>
          <w:szCs w:val="22"/>
        </w:rPr>
      </w:pPr>
    </w:p>
    <w:p w14:paraId="1D787F41" w14:textId="77777777" w:rsidR="001161F0" w:rsidRPr="002C2822" w:rsidRDefault="001161F0" w:rsidP="002C2822">
      <w:pPr>
        <w:rPr>
          <w:sz w:val="22"/>
          <w:szCs w:val="22"/>
        </w:rPr>
      </w:pPr>
    </w:p>
    <w:p w14:paraId="4D2BBCFD" w14:textId="77777777" w:rsidR="006D4AE8" w:rsidRDefault="006D4AE8" w:rsidP="002C2822">
      <w:pPr>
        <w:rPr>
          <w:sz w:val="22"/>
          <w:szCs w:val="22"/>
        </w:rPr>
      </w:pPr>
      <w:r w:rsidRPr="002C2822">
        <w:rPr>
          <w:sz w:val="22"/>
          <w:szCs w:val="22"/>
        </w:rPr>
        <w:t xml:space="preserve">The only market grouping that passed 50% in profitability was 51 to 100.  Fox affiliates lagged all the others, although mostly Fox news directors didn’t know how the website was doing.  Stations in West generally lagged behind other areas.  </w:t>
      </w:r>
    </w:p>
    <w:p w14:paraId="32B6B462" w14:textId="77777777" w:rsidR="001161F0" w:rsidRPr="002C2822" w:rsidRDefault="001161F0" w:rsidP="002C2822">
      <w:pPr>
        <w:rPr>
          <w:sz w:val="22"/>
          <w:szCs w:val="22"/>
        </w:rPr>
      </w:pPr>
    </w:p>
    <w:p w14:paraId="21FE094F" w14:textId="77777777" w:rsidR="006D4AE8" w:rsidRPr="002C2822" w:rsidRDefault="006D4AE8" w:rsidP="002C2822">
      <w:pPr>
        <w:rPr>
          <w:sz w:val="22"/>
          <w:szCs w:val="22"/>
        </w:rPr>
      </w:pPr>
    </w:p>
    <w:p w14:paraId="29B7D58C" w14:textId="77777777" w:rsidR="006D4AE8" w:rsidRPr="002C2822" w:rsidRDefault="006D4AE8" w:rsidP="002C2822">
      <w:pPr>
        <w:rPr>
          <w:b/>
          <w:sz w:val="22"/>
          <w:szCs w:val="22"/>
        </w:rPr>
      </w:pPr>
      <w:r w:rsidRPr="002C2822">
        <w:rPr>
          <w:b/>
          <w:sz w:val="22"/>
          <w:szCs w:val="22"/>
        </w:rPr>
        <w:t>Profitability of TV and radio station websites over time</w:t>
      </w:r>
    </w:p>
    <w:p w14:paraId="0C881808" w14:textId="77777777" w:rsidR="006D4AE8" w:rsidRPr="002C2822" w:rsidRDefault="006D4AE8" w:rsidP="002C2822">
      <w:pPr>
        <w:rPr>
          <w:sz w:val="22"/>
          <w:szCs w:val="22"/>
        </w:rPr>
      </w:pPr>
      <w:r w:rsidRPr="002C2822">
        <w:rPr>
          <w:noProof/>
          <w:sz w:val="22"/>
          <w:szCs w:val="22"/>
        </w:rPr>
        <w:drawing>
          <wp:inline distT="0" distB="0" distL="0" distR="0" wp14:anchorId="12B9F2B6" wp14:editId="73820A70">
            <wp:extent cx="63246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C0E98E9" w14:textId="3FD52CDC" w:rsidR="006D4AE8" w:rsidRPr="002C2822" w:rsidRDefault="006D4AE8" w:rsidP="002C2822">
      <w:pPr>
        <w:rPr>
          <w:sz w:val="22"/>
          <w:szCs w:val="22"/>
        </w:rPr>
      </w:pPr>
    </w:p>
    <w:p w14:paraId="370D10B7" w14:textId="77777777" w:rsidR="006D4AE8" w:rsidRDefault="006D4AE8" w:rsidP="002C2822">
      <w:pPr>
        <w:rPr>
          <w:sz w:val="22"/>
          <w:szCs w:val="22"/>
        </w:rPr>
      </w:pPr>
      <w:r w:rsidRPr="002C2822">
        <w:rPr>
          <w:sz w:val="22"/>
          <w:szCs w:val="22"/>
        </w:rPr>
        <w:t>The general upward trajectory in TV is pretty clear; so is radio's up and down ride.</w:t>
      </w:r>
    </w:p>
    <w:p w14:paraId="2632F04A" w14:textId="77777777" w:rsidR="001161F0" w:rsidRPr="002C2822" w:rsidRDefault="001161F0" w:rsidP="002C2822">
      <w:pPr>
        <w:rPr>
          <w:sz w:val="22"/>
          <w:szCs w:val="22"/>
        </w:rPr>
      </w:pPr>
    </w:p>
    <w:p w14:paraId="0B470FCE" w14:textId="77777777" w:rsidR="006D4AE8" w:rsidRDefault="006D4AE8" w:rsidP="002C2822">
      <w:pPr>
        <w:rPr>
          <w:sz w:val="22"/>
          <w:szCs w:val="22"/>
        </w:rPr>
      </w:pPr>
    </w:p>
    <w:p w14:paraId="494A82CF" w14:textId="77777777" w:rsidR="002C2822" w:rsidRPr="002C2822" w:rsidRDefault="002C2822" w:rsidP="002C2822">
      <w:pPr>
        <w:rPr>
          <w:sz w:val="22"/>
          <w:szCs w:val="22"/>
        </w:rPr>
      </w:pPr>
    </w:p>
    <w:p w14:paraId="735FA0C4" w14:textId="77777777" w:rsidR="006D4AE8" w:rsidRPr="002C2822" w:rsidRDefault="006D4AE8" w:rsidP="002C2822">
      <w:pPr>
        <w:rPr>
          <w:b/>
          <w:sz w:val="22"/>
          <w:szCs w:val="22"/>
        </w:rPr>
      </w:pPr>
      <w:r w:rsidRPr="002C2822">
        <w:rPr>
          <w:b/>
          <w:sz w:val="22"/>
          <w:szCs w:val="22"/>
        </w:rPr>
        <w:t>Paywalls</w:t>
      </w:r>
    </w:p>
    <w:p w14:paraId="36A77990" w14:textId="77777777" w:rsidR="006D4AE8" w:rsidRPr="002C2822" w:rsidRDefault="006D4AE8" w:rsidP="002C2822">
      <w:pPr>
        <w:rPr>
          <w:sz w:val="22"/>
          <w:szCs w:val="22"/>
        </w:rPr>
      </w:pPr>
    </w:p>
    <w:p w14:paraId="51EF549D" w14:textId="77777777" w:rsidR="006D4AE8" w:rsidRPr="002C2822" w:rsidRDefault="006D4AE8" w:rsidP="002C2822">
      <w:pPr>
        <w:rPr>
          <w:sz w:val="22"/>
          <w:szCs w:val="22"/>
        </w:rPr>
      </w:pPr>
      <w:r w:rsidRPr="002C2822">
        <w:rPr>
          <w:sz w:val="22"/>
          <w:szCs w:val="22"/>
        </w:rPr>
        <w:t xml:space="preserve">The number of TV stations reporting paywalls (a monetary charge to access a station website) fell from last year’s 4 to this year’s 2.  That would be 2 stations with paywalls – not 2%.  Another 2 stations said they were considering a paywall.  That’s the same as a year ago … which may mean that the same 2 stations that were considering paywalls are still doing so.  Or maybe not.  In any case, local TV news is still not getting into the paywall business.  </w:t>
      </w:r>
    </w:p>
    <w:p w14:paraId="658DF9ED" w14:textId="77777777" w:rsidR="006D4AE8" w:rsidRDefault="006D4AE8" w:rsidP="002C2822">
      <w:pPr>
        <w:rPr>
          <w:sz w:val="22"/>
          <w:szCs w:val="22"/>
        </w:rPr>
      </w:pPr>
    </w:p>
    <w:p w14:paraId="4AB792E0" w14:textId="77777777" w:rsidR="00960329" w:rsidRPr="002C2822" w:rsidRDefault="00960329" w:rsidP="002C2822">
      <w:pPr>
        <w:rPr>
          <w:sz w:val="22"/>
          <w:szCs w:val="22"/>
        </w:rPr>
      </w:pPr>
      <w:bookmarkStart w:id="0" w:name="_GoBack"/>
      <w:bookmarkEnd w:id="0"/>
    </w:p>
    <w:p w14:paraId="1D936DCA" w14:textId="77777777" w:rsidR="002C2822" w:rsidRPr="002C2822" w:rsidRDefault="002C2822" w:rsidP="002C2822">
      <w:pPr>
        <w:rPr>
          <w:sz w:val="22"/>
          <w:szCs w:val="22"/>
        </w:rPr>
      </w:pPr>
    </w:p>
    <w:p w14:paraId="5B6C0EBB" w14:textId="77777777" w:rsidR="00AF0FEE" w:rsidRPr="002C2822" w:rsidRDefault="00AF0FEE" w:rsidP="002C2822">
      <w:pPr>
        <w:rPr>
          <w:b/>
          <w:bCs/>
          <w:sz w:val="22"/>
          <w:szCs w:val="22"/>
        </w:rPr>
      </w:pPr>
      <w:r w:rsidRPr="002C2822">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B7DF2D9" w14:textId="77777777" w:rsidR="00AF0FEE" w:rsidRPr="002C2822" w:rsidRDefault="00AF0FEE" w:rsidP="002C2822">
      <w:pPr>
        <w:rPr>
          <w:sz w:val="22"/>
          <w:szCs w:val="22"/>
        </w:rPr>
      </w:pPr>
    </w:p>
    <w:p w14:paraId="09DA63A6" w14:textId="77777777" w:rsidR="00AF0FEE" w:rsidRPr="002C2822" w:rsidRDefault="00AF0FEE" w:rsidP="002C2822">
      <w:pPr>
        <w:rPr>
          <w:sz w:val="22"/>
          <w:szCs w:val="22"/>
        </w:rPr>
      </w:pPr>
    </w:p>
    <w:p w14:paraId="1A2D919A" w14:textId="77777777" w:rsidR="00AF0FEE" w:rsidRPr="002C2822" w:rsidRDefault="00AF0FEE" w:rsidP="002C2822">
      <w:pPr>
        <w:outlineLvl w:val="0"/>
        <w:rPr>
          <w:sz w:val="22"/>
          <w:szCs w:val="22"/>
        </w:rPr>
      </w:pPr>
      <w:r w:rsidRPr="002C2822">
        <w:rPr>
          <w:b/>
          <w:bCs/>
          <w:sz w:val="22"/>
          <w:szCs w:val="22"/>
        </w:rPr>
        <w:t>About the Survey</w:t>
      </w:r>
    </w:p>
    <w:p w14:paraId="6137808F" w14:textId="77777777" w:rsidR="00AF0FEE" w:rsidRPr="002C2822" w:rsidRDefault="00AF0FEE" w:rsidP="002C2822">
      <w:pPr>
        <w:rPr>
          <w:sz w:val="22"/>
          <w:szCs w:val="22"/>
        </w:rPr>
      </w:pPr>
    </w:p>
    <w:p w14:paraId="294BCFF5" w14:textId="77777777" w:rsidR="00AF0FEE" w:rsidRPr="002C2822" w:rsidRDefault="00AF0FEE" w:rsidP="002C2822">
      <w:pPr>
        <w:rPr>
          <w:sz w:val="22"/>
          <w:szCs w:val="22"/>
        </w:rPr>
      </w:pPr>
      <w:r w:rsidRPr="002C2822">
        <w:rPr>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5C75B3F5" w14:textId="77777777" w:rsidR="00AF0FEE" w:rsidRPr="002C2822" w:rsidRDefault="00AF0FEE" w:rsidP="002C2822">
      <w:pPr>
        <w:rPr>
          <w:sz w:val="22"/>
          <w:szCs w:val="22"/>
        </w:rPr>
      </w:pPr>
    </w:p>
    <w:p w14:paraId="2A85A28F" w14:textId="77777777" w:rsidR="00AF0FEE" w:rsidRPr="002C2822" w:rsidRDefault="00AF0FEE" w:rsidP="002C2822">
      <w:pPr>
        <w:rPr>
          <w:sz w:val="22"/>
          <w:szCs w:val="22"/>
        </w:rPr>
      </w:pPr>
    </w:p>
    <w:p w14:paraId="5F2482DC" w14:textId="77777777" w:rsidR="005460C2" w:rsidRPr="002C2822" w:rsidRDefault="005460C2" w:rsidP="002C2822">
      <w:pPr>
        <w:rPr>
          <w:sz w:val="22"/>
          <w:szCs w:val="22"/>
        </w:rPr>
      </w:pPr>
    </w:p>
    <w:sectPr w:rsidR="005460C2" w:rsidRPr="002C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E8"/>
    <w:rsid w:val="001161F0"/>
    <w:rsid w:val="00136071"/>
    <w:rsid w:val="002C2822"/>
    <w:rsid w:val="005460C2"/>
    <w:rsid w:val="006C6486"/>
    <w:rsid w:val="006D4AE8"/>
    <w:rsid w:val="00960329"/>
    <w:rsid w:val="00A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8E2A"/>
  <w15:chartTrackingRefBased/>
  <w15:docId w15:val="{D2F4B9E1-0A8F-4A3F-BA27-D679E960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E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AE8"/>
    <w:rPr>
      <w:sz w:val="22"/>
    </w:rPr>
  </w:style>
  <w:style w:type="character" w:customStyle="1" w:styleId="BodyTextChar">
    <w:name w:val="Body Text Char"/>
    <w:basedOn w:val="DefaultParagraphFont"/>
    <w:link w:val="BodyText"/>
    <w:rsid w:val="006D4AE8"/>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Sheet1!$B$1:$U$1</c:f>
              <c:strCach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strCache>
            </c:strRef>
          </c:cat>
          <c:val>
            <c:numRef>
              <c:f>Sheet1!$B$2:$U$2</c:f>
              <c:numCache>
                <c:formatCode>General</c:formatCode>
                <c:ptCount val="20"/>
                <c:pt idx="0">
                  <c:v>6</c:v>
                </c:pt>
                <c:pt idx="1">
                  <c:v>11</c:v>
                </c:pt>
                <c:pt idx="2">
                  <c:v>7</c:v>
                </c:pt>
                <c:pt idx="3">
                  <c:v>9.6999999999999993</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38.299999999999997</c:v>
                </c:pt>
                <c:pt idx="17">
                  <c:v>44.1</c:v>
                </c:pt>
                <c:pt idx="18">
                  <c:v>46.4</c:v>
                </c:pt>
                <c:pt idx="19">
                  <c:v>40.700000000000003</c:v>
                </c:pt>
              </c:numCache>
            </c:numRef>
          </c:val>
          <c:smooth val="0"/>
          <c:extLst xmlns:c16r2="http://schemas.microsoft.com/office/drawing/2015/06/chart">
            <c:ext xmlns:c16="http://schemas.microsoft.com/office/drawing/2014/chart" uri="{C3380CC4-5D6E-409C-BE32-E72D297353CC}">
              <c16:uniqueId val="{00000000-C5B1-4D30-B54D-BDF335951F39}"/>
            </c:ext>
          </c:extLst>
        </c:ser>
        <c:ser>
          <c:idx val="1"/>
          <c:order val="1"/>
          <c:tx>
            <c:strRef>
              <c:f>Sheet1!$A$3</c:f>
              <c:strCache>
                <c:ptCount val="1"/>
                <c:pt idx="0">
                  <c:v>Radio</c:v>
                </c:pt>
              </c:strCache>
            </c:strRef>
          </c:tx>
          <c:marker>
            <c:symbol val="none"/>
          </c:marker>
          <c:cat>
            <c:strRef>
              <c:f>Sheet1!$B$1:$U$1</c:f>
              <c:strCach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strCache>
            </c:strRef>
          </c:cat>
          <c:val>
            <c:numRef>
              <c:f>Sheet1!$B$3:$U$3</c:f>
              <c:numCache>
                <c:formatCode>General</c:formatCode>
                <c:ptCount val="20"/>
                <c:pt idx="0">
                  <c:v>2</c:v>
                </c:pt>
                <c:pt idx="1">
                  <c:v>4</c:v>
                </c:pt>
                <c:pt idx="2">
                  <c:v>7.8</c:v>
                </c:pt>
                <c:pt idx="3">
                  <c:v>4.7</c:v>
                </c:pt>
                <c:pt idx="4">
                  <c:v>3.8</c:v>
                </c:pt>
                <c:pt idx="5">
                  <c:v>4.7</c:v>
                </c:pt>
                <c:pt idx="6">
                  <c:v>4.2</c:v>
                </c:pt>
                <c:pt idx="7">
                  <c:v>10.7</c:v>
                </c:pt>
                <c:pt idx="8">
                  <c:v>6.5</c:v>
                </c:pt>
                <c:pt idx="9">
                  <c:v>6.5</c:v>
                </c:pt>
                <c:pt idx="10">
                  <c:v>14.7</c:v>
                </c:pt>
                <c:pt idx="11">
                  <c:v>9.6999999999999993</c:v>
                </c:pt>
                <c:pt idx="12">
                  <c:v>16.100000000000001</c:v>
                </c:pt>
                <c:pt idx="13">
                  <c:v>12.8</c:v>
                </c:pt>
                <c:pt idx="14">
                  <c:v>10.9</c:v>
                </c:pt>
                <c:pt idx="15">
                  <c:v>15.4</c:v>
                </c:pt>
                <c:pt idx="16">
                  <c:v>8.1</c:v>
                </c:pt>
                <c:pt idx="17">
                  <c:v>15.3</c:v>
                </c:pt>
                <c:pt idx="18">
                  <c:v>13.6</c:v>
                </c:pt>
                <c:pt idx="19">
                  <c:v>13.8</c:v>
                </c:pt>
              </c:numCache>
            </c:numRef>
          </c:val>
          <c:smooth val="0"/>
          <c:extLst xmlns:c16r2="http://schemas.microsoft.com/office/drawing/2015/06/chart">
            <c:ext xmlns:c16="http://schemas.microsoft.com/office/drawing/2014/chart" uri="{C3380CC4-5D6E-409C-BE32-E72D297353CC}">
              <c16:uniqueId val="{00000001-C5B1-4D30-B54D-BDF335951F39}"/>
            </c:ext>
          </c:extLst>
        </c:ser>
        <c:dLbls>
          <c:showLegendKey val="0"/>
          <c:showVal val="0"/>
          <c:showCatName val="0"/>
          <c:showSerName val="0"/>
          <c:showPercent val="0"/>
          <c:showBubbleSize val="0"/>
        </c:dLbls>
        <c:smooth val="0"/>
        <c:axId val="228353584"/>
        <c:axId val="206162360"/>
      </c:lineChart>
      <c:catAx>
        <c:axId val="228353584"/>
        <c:scaling>
          <c:orientation val="minMax"/>
        </c:scaling>
        <c:delete val="0"/>
        <c:axPos val="b"/>
        <c:numFmt formatCode="General" sourceLinked="0"/>
        <c:majorTickMark val="none"/>
        <c:minorTickMark val="none"/>
        <c:tickLblPos val="nextTo"/>
        <c:crossAx val="206162360"/>
        <c:crosses val="autoZero"/>
        <c:auto val="1"/>
        <c:lblAlgn val="ctr"/>
        <c:lblOffset val="100"/>
        <c:noMultiLvlLbl val="0"/>
      </c:catAx>
      <c:valAx>
        <c:axId val="206162360"/>
        <c:scaling>
          <c:orientation val="minMax"/>
        </c:scaling>
        <c:delete val="0"/>
        <c:axPos val="l"/>
        <c:numFmt formatCode="General" sourceLinked="1"/>
        <c:majorTickMark val="none"/>
        <c:minorTickMark val="none"/>
        <c:tickLblPos val="nextTo"/>
        <c:crossAx val="228353584"/>
        <c:crosses val="autoZero"/>
        <c:crossBetween val="between"/>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2018-02-27T18:50:00Z</dcterms:created>
  <dcterms:modified xsi:type="dcterms:W3CDTF">2018-02-27T18:50:00Z</dcterms:modified>
</cp:coreProperties>
</file>