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16" w:rsidRPr="00F513D6" w:rsidRDefault="00243116" w:rsidP="00F513D6">
      <w:pPr>
        <w:rPr>
          <w:b/>
          <w:sz w:val="22"/>
          <w:szCs w:val="22"/>
        </w:rPr>
      </w:pPr>
      <w:r w:rsidRPr="00F513D6">
        <w:rPr>
          <w:b/>
          <w:sz w:val="22"/>
          <w:szCs w:val="22"/>
        </w:rPr>
        <w:t xml:space="preserve">Radio </w:t>
      </w:r>
      <w:r w:rsidR="00AA65B7" w:rsidRPr="00F513D6">
        <w:rPr>
          <w:b/>
          <w:sz w:val="22"/>
          <w:szCs w:val="22"/>
        </w:rPr>
        <w:t>T</w:t>
      </w:r>
      <w:r w:rsidRPr="00F513D6">
        <w:rPr>
          <w:b/>
          <w:sz w:val="22"/>
          <w:szCs w:val="22"/>
        </w:rPr>
        <w:t xml:space="preserve">echnology </w:t>
      </w:r>
      <w:r w:rsidR="00AA65B7" w:rsidRPr="00F513D6">
        <w:rPr>
          <w:b/>
          <w:sz w:val="22"/>
          <w:szCs w:val="22"/>
        </w:rPr>
        <w:t>P</w:t>
      </w:r>
      <w:r w:rsidRPr="00F513D6">
        <w:rPr>
          <w:b/>
          <w:sz w:val="22"/>
          <w:szCs w:val="22"/>
        </w:rPr>
        <w:t>urchases</w:t>
      </w:r>
      <w:r w:rsidR="00AA65B7" w:rsidRPr="00F513D6">
        <w:rPr>
          <w:b/>
          <w:sz w:val="22"/>
          <w:szCs w:val="22"/>
        </w:rPr>
        <w:t xml:space="preserve"> </w:t>
      </w:r>
      <w:r w:rsidR="00F513D6">
        <w:rPr>
          <w:b/>
          <w:sz w:val="22"/>
          <w:szCs w:val="22"/>
        </w:rPr>
        <w:t>Drop Again … but Drone Use Up</w:t>
      </w:r>
    </w:p>
    <w:p w:rsidR="00AA65B7" w:rsidRPr="00F513D6" w:rsidRDefault="00AA65B7" w:rsidP="00F513D6">
      <w:pPr>
        <w:rPr>
          <w:sz w:val="22"/>
          <w:szCs w:val="22"/>
        </w:rPr>
      </w:pPr>
      <w:proofErr w:type="gramStart"/>
      <w:r w:rsidRPr="00F513D6">
        <w:rPr>
          <w:b/>
          <w:sz w:val="22"/>
          <w:szCs w:val="22"/>
        </w:rPr>
        <w:t>by</w:t>
      </w:r>
      <w:proofErr w:type="gramEnd"/>
      <w:r w:rsidRPr="00F513D6">
        <w:rPr>
          <w:b/>
          <w:sz w:val="22"/>
          <w:szCs w:val="22"/>
        </w:rPr>
        <w:t xml:space="preserve"> Bob Papper</w:t>
      </w:r>
    </w:p>
    <w:p w:rsidR="00243116" w:rsidRPr="00F513D6" w:rsidRDefault="00243116" w:rsidP="00F513D6">
      <w:pPr>
        <w:rPr>
          <w:sz w:val="22"/>
          <w:szCs w:val="22"/>
        </w:rPr>
      </w:pPr>
    </w:p>
    <w:p w:rsidR="00AA65B7" w:rsidRPr="00F513D6" w:rsidRDefault="00AA65B7" w:rsidP="00F513D6">
      <w:pPr>
        <w:rPr>
          <w:sz w:val="22"/>
          <w:szCs w:val="22"/>
        </w:rPr>
      </w:pPr>
    </w:p>
    <w:p w:rsidR="00243116" w:rsidRPr="00F513D6" w:rsidRDefault="00AA65B7" w:rsidP="00F513D6">
      <w:pPr>
        <w:rPr>
          <w:sz w:val="22"/>
          <w:szCs w:val="22"/>
        </w:rPr>
      </w:pPr>
      <w:r w:rsidRPr="00F513D6">
        <w:rPr>
          <w:sz w:val="22"/>
          <w:szCs w:val="22"/>
        </w:rPr>
        <w:t>The latest RTDNA/Hofstra University Survey found that j</w:t>
      </w:r>
      <w:r w:rsidR="00243116" w:rsidRPr="00F513D6">
        <w:rPr>
          <w:sz w:val="22"/>
          <w:szCs w:val="22"/>
        </w:rPr>
        <w:t>ust 18.9% of radio news di</w:t>
      </w:r>
      <w:r w:rsidRPr="00F513D6">
        <w:rPr>
          <w:sz w:val="22"/>
          <w:szCs w:val="22"/>
        </w:rPr>
        <w:t>r</w:t>
      </w:r>
      <w:r w:rsidR="00243116" w:rsidRPr="00F513D6">
        <w:rPr>
          <w:sz w:val="22"/>
          <w:szCs w:val="22"/>
        </w:rPr>
        <w:t xml:space="preserve">ectors and general managers plan any technology purchases this year.  That’s as low </w:t>
      </w:r>
      <w:r w:rsidRPr="00F513D6">
        <w:rPr>
          <w:sz w:val="22"/>
          <w:szCs w:val="22"/>
        </w:rPr>
        <w:t xml:space="preserve">a number </w:t>
      </w:r>
      <w:r w:rsidR="00243116" w:rsidRPr="00F513D6">
        <w:rPr>
          <w:sz w:val="22"/>
          <w:szCs w:val="22"/>
        </w:rPr>
        <w:t xml:space="preserve">as I can remember </w:t>
      </w:r>
      <w:r w:rsidRPr="00F513D6">
        <w:rPr>
          <w:sz w:val="22"/>
          <w:szCs w:val="22"/>
        </w:rPr>
        <w:t>in all the years I’ve been asking</w:t>
      </w:r>
      <w:r w:rsidR="00243116" w:rsidRPr="00F513D6">
        <w:rPr>
          <w:sz w:val="22"/>
          <w:szCs w:val="22"/>
        </w:rPr>
        <w:t>.  A year ago, it was 25</w:t>
      </w:r>
      <w:r w:rsidRPr="00F513D6">
        <w:rPr>
          <w:sz w:val="22"/>
          <w:szCs w:val="22"/>
        </w:rPr>
        <w:t>%</w:t>
      </w:r>
      <w:r w:rsidR="00243116" w:rsidRPr="00F513D6">
        <w:rPr>
          <w:sz w:val="22"/>
          <w:szCs w:val="22"/>
        </w:rPr>
        <w:t xml:space="preserve"> and 22% the year before that.  Non-commercial stations were three times as likely as commercial stations to be making a purchase.  Larger markets, 250,000 people and up</w:t>
      </w:r>
      <w:r w:rsidRPr="00F513D6">
        <w:rPr>
          <w:sz w:val="22"/>
          <w:szCs w:val="22"/>
        </w:rPr>
        <w:t>,</w:t>
      </w:r>
      <w:r w:rsidR="00243116" w:rsidRPr="00F513D6">
        <w:rPr>
          <w:sz w:val="22"/>
          <w:szCs w:val="22"/>
        </w:rPr>
        <w:t xml:space="preserve"> were markedly higher than smaller markets.  Staff size and station configuration made no difference.  Stations in the South were lower than all other areas. </w:t>
      </w:r>
    </w:p>
    <w:p w:rsidR="00243116" w:rsidRDefault="00243116" w:rsidP="00F513D6">
      <w:pPr>
        <w:rPr>
          <w:sz w:val="22"/>
          <w:szCs w:val="22"/>
        </w:rPr>
      </w:pPr>
    </w:p>
    <w:p w:rsidR="003D6E81" w:rsidRPr="00F513D6" w:rsidRDefault="003D6E81" w:rsidP="00F513D6">
      <w:pPr>
        <w:rPr>
          <w:sz w:val="22"/>
          <w:szCs w:val="22"/>
        </w:rPr>
      </w:pPr>
    </w:p>
    <w:p w:rsidR="00243116" w:rsidRPr="00F513D6" w:rsidRDefault="00243116" w:rsidP="00F513D6">
      <w:pPr>
        <w:rPr>
          <w:b/>
          <w:sz w:val="22"/>
          <w:szCs w:val="22"/>
        </w:rPr>
      </w:pPr>
      <w:r w:rsidRPr="00F513D6">
        <w:rPr>
          <w:b/>
          <w:sz w:val="22"/>
          <w:szCs w:val="22"/>
        </w:rPr>
        <w:t>Technology purchases in radio</w:t>
      </w:r>
      <w:r w:rsidRPr="00F513D6">
        <w:rPr>
          <w:b/>
          <w:sz w:val="22"/>
          <w:szCs w:val="22"/>
        </w:rPr>
        <w:br/>
      </w:r>
    </w:p>
    <w:p w:rsidR="00243116" w:rsidRPr="00F513D6" w:rsidRDefault="00243116" w:rsidP="00F513D6">
      <w:pPr>
        <w:ind w:left="1440" w:hanging="1080"/>
        <w:rPr>
          <w:sz w:val="22"/>
          <w:szCs w:val="22"/>
        </w:rPr>
      </w:pPr>
      <w:r w:rsidRPr="00F513D6">
        <w:rPr>
          <w:sz w:val="22"/>
          <w:szCs w:val="22"/>
        </w:rPr>
        <w:t>27.3%</w:t>
      </w:r>
      <w:r w:rsidR="00AA65B7" w:rsidRPr="00F513D6">
        <w:rPr>
          <w:sz w:val="22"/>
          <w:szCs w:val="22"/>
        </w:rPr>
        <w:tab/>
        <w:t>V</w:t>
      </w:r>
      <w:r w:rsidRPr="00F513D6">
        <w:rPr>
          <w:sz w:val="22"/>
          <w:szCs w:val="22"/>
        </w:rPr>
        <w:t>ideo … that’s right, video came out on top, including 360 cameras, go-pro cameras, iPhones for video, etc.</w:t>
      </w:r>
    </w:p>
    <w:p w:rsidR="00243116" w:rsidRPr="00F513D6" w:rsidRDefault="00AA65B7" w:rsidP="00F513D6">
      <w:pPr>
        <w:pStyle w:val="ListParagraph"/>
        <w:numPr>
          <w:ilvl w:val="1"/>
          <w:numId w:val="3"/>
        </w:numPr>
        <w:rPr>
          <w:sz w:val="22"/>
          <w:szCs w:val="22"/>
        </w:rPr>
      </w:pPr>
      <w:r w:rsidRPr="00F513D6">
        <w:rPr>
          <w:sz w:val="22"/>
          <w:szCs w:val="22"/>
        </w:rPr>
        <w:t>D</w:t>
      </w:r>
      <w:r w:rsidR="00243116" w:rsidRPr="00F513D6">
        <w:rPr>
          <w:sz w:val="22"/>
          <w:szCs w:val="22"/>
        </w:rPr>
        <w:t>igital remote equipment</w:t>
      </w:r>
    </w:p>
    <w:p w:rsidR="00243116" w:rsidRPr="00F513D6" w:rsidRDefault="00AA65B7" w:rsidP="00F513D6">
      <w:pPr>
        <w:pStyle w:val="ListParagraph"/>
        <w:numPr>
          <w:ilvl w:val="1"/>
          <w:numId w:val="4"/>
        </w:numPr>
        <w:rPr>
          <w:sz w:val="22"/>
          <w:szCs w:val="22"/>
        </w:rPr>
      </w:pPr>
      <w:r w:rsidRPr="00F513D6">
        <w:rPr>
          <w:sz w:val="22"/>
          <w:szCs w:val="22"/>
        </w:rPr>
        <w:t>S</w:t>
      </w:r>
      <w:r w:rsidR="00243116" w:rsidRPr="00F513D6">
        <w:rPr>
          <w:sz w:val="22"/>
          <w:szCs w:val="22"/>
        </w:rPr>
        <w:t>tudio equipment</w:t>
      </w:r>
    </w:p>
    <w:p w:rsidR="00AA65B7" w:rsidRPr="00F513D6" w:rsidRDefault="00AA65B7" w:rsidP="00F513D6">
      <w:pPr>
        <w:ind w:firstLine="360"/>
        <w:rPr>
          <w:sz w:val="22"/>
          <w:szCs w:val="22"/>
        </w:rPr>
      </w:pPr>
      <w:r w:rsidRPr="00F513D6">
        <w:rPr>
          <w:sz w:val="22"/>
          <w:szCs w:val="22"/>
        </w:rPr>
        <w:t xml:space="preserve">  9.1</w:t>
      </w:r>
      <w:r w:rsidRPr="00F513D6">
        <w:rPr>
          <w:sz w:val="22"/>
          <w:szCs w:val="22"/>
        </w:rPr>
        <w:tab/>
        <w:t>N</w:t>
      </w:r>
      <w:r w:rsidR="00243116" w:rsidRPr="00F513D6">
        <w:rPr>
          <w:sz w:val="22"/>
          <w:szCs w:val="22"/>
        </w:rPr>
        <w:t>ew computers or new newsroom management systems</w:t>
      </w:r>
    </w:p>
    <w:p w:rsidR="00243116" w:rsidRDefault="00243116" w:rsidP="00F513D6">
      <w:pPr>
        <w:ind w:left="1440" w:hanging="960"/>
        <w:rPr>
          <w:sz w:val="22"/>
          <w:szCs w:val="22"/>
        </w:rPr>
      </w:pPr>
      <w:r w:rsidRPr="00F513D6">
        <w:rPr>
          <w:sz w:val="22"/>
          <w:szCs w:val="22"/>
        </w:rPr>
        <w:t>4.5</w:t>
      </w:r>
      <w:r w:rsidR="00AA65B7" w:rsidRPr="00F513D6">
        <w:rPr>
          <w:sz w:val="22"/>
          <w:szCs w:val="22"/>
        </w:rPr>
        <w:tab/>
        <w:t>Ties: n</w:t>
      </w:r>
      <w:r w:rsidRPr="00F513D6">
        <w:rPr>
          <w:sz w:val="22"/>
          <w:szCs w:val="22"/>
        </w:rPr>
        <w:t xml:space="preserve">ew facilities … new phone system … new website or software for the website </w:t>
      </w:r>
      <w:r w:rsidR="00AA65B7" w:rsidRPr="00F513D6">
        <w:rPr>
          <w:sz w:val="22"/>
          <w:szCs w:val="22"/>
        </w:rPr>
        <w:t>…</w:t>
      </w:r>
      <w:r w:rsidRPr="00F513D6">
        <w:rPr>
          <w:sz w:val="22"/>
          <w:szCs w:val="22"/>
        </w:rPr>
        <w:t xml:space="preserve"> social media sharing equipment (which could have been video cameras, but they didn’t say so, so I kept in separate</w:t>
      </w:r>
    </w:p>
    <w:p w:rsidR="00243116" w:rsidRPr="00F513D6" w:rsidRDefault="00AA65B7" w:rsidP="00F513D6">
      <w:pPr>
        <w:pStyle w:val="ListParagraph"/>
        <w:numPr>
          <w:ilvl w:val="1"/>
          <w:numId w:val="6"/>
        </w:numPr>
        <w:ind w:hanging="450"/>
        <w:rPr>
          <w:sz w:val="22"/>
          <w:szCs w:val="22"/>
        </w:rPr>
      </w:pPr>
      <w:r w:rsidRPr="00F513D6">
        <w:rPr>
          <w:sz w:val="22"/>
          <w:szCs w:val="22"/>
        </w:rPr>
        <w:t xml:space="preserve">         Ties: </w:t>
      </w:r>
      <w:r w:rsidR="00243116" w:rsidRPr="00F513D6">
        <w:rPr>
          <w:sz w:val="22"/>
          <w:szCs w:val="22"/>
        </w:rPr>
        <w:t>drones … mics … translator for the AM</w:t>
      </w:r>
    </w:p>
    <w:p w:rsidR="00243116" w:rsidRPr="00F513D6" w:rsidRDefault="00AA65B7" w:rsidP="00F513D6">
      <w:pPr>
        <w:pStyle w:val="ListParagraph"/>
        <w:ind w:left="360"/>
        <w:rPr>
          <w:sz w:val="22"/>
          <w:szCs w:val="22"/>
        </w:rPr>
      </w:pPr>
      <w:r w:rsidRPr="00F513D6">
        <w:rPr>
          <w:sz w:val="22"/>
          <w:szCs w:val="22"/>
        </w:rPr>
        <w:t xml:space="preserve">  </w:t>
      </w:r>
      <w:r w:rsidR="00243116" w:rsidRPr="00F513D6">
        <w:rPr>
          <w:sz w:val="22"/>
          <w:szCs w:val="22"/>
        </w:rPr>
        <w:t>6.8</w:t>
      </w:r>
      <w:r w:rsidRPr="00F513D6">
        <w:rPr>
          <w:sz w:val="22"/>
          <w:szCs w:val="22"/>
        </w:rPr>
        <w:tab/>
        <w:t xml:space="preserve">Percent </w:t>
      </w:r>
      <w:r w:rsidR="00243116" w:rsidRPr="00F513D6">
        <w:rPr>
          <w:sz w:val="22"/>
          <w:szCs w:val="22"/>
        </w:rPr>
        <w:t>said they weren’t sure yet</w:t>
      </w:r>
    </w:p>
    <w:p w:rsidR="00243116" w:rsidRPr="00F513D6" w:rsidRDefault="00243116" w:rsidP="00F513D6">
      <w:pPr>
        <w:rPr>
          <w:sz w:val="22"/>
          <w:szCs w:val="22"/>
        </w:rPr>
      </w:pPr>
    </w:p>
    <w:p w:rsidR="00243116" w:rsidRPr="00F513D6" w:rsidRDefault="00243116" w:rsidP="00F513D6">
      <w:pPr>
        <w:tabs>
          <w:tab w:val="left" w:pos="2880"/>
          <w:tab w:val="left" w:pos="9360"/>
        </w:tabs>
        <w:rPr>
          <w:sz w:val="22"/>
          <w:szCs w:val="22"/>
        </w:rPr>
      </w:pPr>
      <w:r w:rsidRPr="00F513D6">
        <w:rPr>
          <w:sz w:val="22"/>
          <w:szCs w:val="22"/>
        </w:rPr>
        <w:t xml:space="preserve">A numbers of years ago, the percentage </w:t>
      </w:r>
      <w:r w:rsidR="00AA65B7" w:rsidRPr="00F513D6">
        <w:rPr>
          <w:sz w:val="22"/>
          <w:szCs w:val="22"/>
        </w:rPr>
        <w:t xml:space="preserve">planning some sort of technology purchase </w:t>
      </w:r>
      <w:r w:rsidRPr="00F513D6">
        <w:rPr>
          <w:sz w:val="22"/>
          <w:szCs w:val="22"/>
        </w:rPr>
        <w:t>used to be around 40.  Then it dropped into the low to mid 20s, and now it’s belo</w:t>
      </w:r>
      <w:r w:rsidR="00AA65B7" w:rsidRPr="00F513D6">
        <w:rPr>
          <w:sz w:val="22"/>
          <w:szCs w:val="22"/>
        </w:rPr>
        <w:t>w</w:t>
      </w:r>
      <w:r w:rsidRPr="00F513D6">
        <w:rPr>
          <w:sz w:val="22"/>
          <w:szCs w:val="22"/>
        </w:rPr>
        <w:t xml:space="preserve"> that.  </w:t>
      </w:r>
      <w:r w:rsidR="00AA65B7" w:rsidRPr="00F513D6">
        <w:rPr>
          <w:sz w:val="22"/>
          <w:szCs w:val="22"/>
        </w:rPr>
        <w:t>Watch for this number next year.</w:t>
      </w:r>
    </w:p>
    <w:p w:rsidR="00F513D6" w:rsidRPr="00F513D6" w:rsidRDefault="00F513D6" w:rsidP="00F513D6">
      <w:pPr>
        <w:tabs>
          <w:tab w:val="left" w:pos="2880"/>
          <w:tab w:val="left" w:pos="9360"/>
        </w:tabs>
        <w:rPr>
          <w:sz w:val="22"/>
          <w:szCs w:val="22"/>
        </w:rPr>
      </w:pPr>
    </w:p>
    <w:p w:rsidR="00F513D6" w:rsidRDefault="00F513D6" w:rsidP="00F513D6">
      <w:pPr>
        <w:rPr>
          <w:b/>
          <w:sz w:val="22"/>
          <w:szCs w:val="22"/>
        </w:rPr>
      </w:pPr>
    </w:p>
    <w:p w:rsidR="00F513D6" w:rsidRPr="00F513D6" w:rsidRDefault="00F513D6" w:rsidP="00F513D6">
      <w:pPr>
        <w:rPr>
          <w:b/>
          <w:sz w:val="22"/>
          <w:szCs w:val="22"/>
        </w:rPr>
      </w:pPr>
      <w:r w:rsidRPr="00F513D6">
        <w:rPr>
          <w:b/>
          <w:sz w:val="22"/>
          <w:szCs w:val="22"/>
        </w:rPr>
        <w:t>Drone use moving up in radio</w:t>
      </w:r>
    </w:p>
    <w:p w:rsidR="00F513D6" w:rsidRPr="00F513D6" w:rsidRDefault="00F513D6" w:rsidP="00F513D6">
      <w:pPr>
        <w:rPr>
          <w:sz w:val="22"/>
          <w:szCs w:val="22"/>
        </w:rPr>
      </w:pPr>
    </w:p>
    <w:p w:rsidR="00F513D6" w:rsidRPr="00F513D6" w:rsidRDefault="00F513D6" w:rsidP="00F513D6">
      <w:pPr>
        <w:rPr>
          <w:sz w:val="22"/>
          <w:szCs w:val="22"/>
        </w:rPr>
      </w:pPr>
      <w:r w:rsidRPr="00F513D6">
        <w:rPr>
          <w:sz w:val="22"/>
          <w:szCs w:val="22"/>
        </w:rPr>
        <w:t>This is the second year I’ve asked this question:</w:t>
      </w:r>
    </w:p>
    <w:p w:rsidR="00F513D6" w:rsidRDefault="00F513D6" w:rsidP="00F513D6">
      <w:pPr>
        <w:rPr>
          <w:sz w:val="22"/>
          <w:szCs w:val="22"/>
        </w:rPr>
      </w:pPr>
    </w:p>
    <w:p w:rsidR="003D6E81" w:rsidRPr="00F513D6" w:rsidRDefault="003D6E81" w:rsidP="00F513D6">
      <w:pPr>
        <w:rPr>
          <w:sz w:val="22"/>
          <w:szCs w:val="22"/>
        </w:rPr>
      </w:pPr>
    </w:p>
    <w:p w:rsidR="00F513D6" w:rsidRPr="00F513D6" w:rsidRDefault="00F513D6" w:rsidP="00F513D6">
      <w:pPr>
        <w:rPr>
          <w:b/>
          <w:sz w:val="22"/>
          <w:szCs w:val="22"/>
        </w:rPr>
      </w:pPr>
      <w:r w:rsidRPr="00F513D6">
        <w:rPr>
          <w:b/>
          <w:sz w:val="22"/>
          <w:szCs w:val="22"/>
        </w:rPr>
        <w:t>Does the radio station have a drone?</w:t>
      </w:r>
    </w:p>
    <w:tbl>
      <w:tblPr>
        <w:tblStyle w:val="TableGrid"/>
        <w:tblW w:w="0" w:type="auto"/>
        <w:tblLook w:val="04A0" w:firstRow="1" w:lastRow="0" w:firstColumn="1" w:lastColumn="0" w:noHBand="0" w:noVBand="1"/>
      </w:tblPr>
      <w:tblGrid>
        <w:gridCol w:w="1705"/>
        <w:gridCol w:w="964"/>
        <w:gridCol w:w="1073"/>
        <w:gridCol w:w="1424"/>
        <w:gridCol w:w="1717"/>
        <w:gridCol w:w="1259"/>
        <w:gridCol w:w="1208"/>
      </w:tblGrid>
      <w:tr w:rsidR="00F513D6" w:rsidRPr="00F513D6" w:rsidTr="00F513D6">
        <w:tc>
          <w:tcPr>
            <w:tcW w:w="1705" w:type="dxa"/>
          </w:tcPr>
          <w:p w:rsidR="00F513D6" w:rsidRPr="00F513D6" w:rsidRDefault="00F513D6" w:rsidP="00F513D6">
            <w:pPr>
              <w:rPr>
                <w:rFonts w:ascii="Arial" w:hAnsi="Arial" w:cs="Arial"/>
                <w:sz w:val="22"/>
                <w:szCs w:val="22"/>
              </w:rPr>
            </w:pP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Already own</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Planning to buy</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Considering</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Lease/arrange for one as needed</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We just use drone footage from others</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No, not involved with drones</w:t>
            </w: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All radio</w:t>
            </w:r>
          </w:p>
        </w:tc>
        <w:tc>
          <w:tcPr>
            <w:tcW w:w="964" w:type="dxa"/>
          </w:tcPr>
          <w:p w:rsidR="00F513D6" w:rsidRPr="00F513D6" w:rsidRDefault="00220438" w:rsidP="00220438">
            <w:pPr>
              <w:jc w:val="center"/>
              <w:rPr>
                <w:rFonts w:ascii="Arial" w:hAnsi="Arial" w:cs="Arial"/>
                <w:sz w:val="22"/>
                <w:szCs w:val="22"/>
              </w:rPr>
            </w:pPr>
            <w:r>
              <w:rPr>
                <w:rFonts w:ascii="Arial" w:hAnsi="Arial" w:cs="Arial"/>
                <w:sz w:val="22"/>
                <w:szCs w:val="22"/>
              </w:rPr>
              <w:t>6</w:t>
            </w:r>
            <w:bookmarkStart w:id="0" w:name="_GoBack"/>
            <w:bookmarkEnd w:id="0"/>
            <w:r w:rsidR="00F513D6" w:rsidRPr="00F513D6">
              <w:rPr>
                <w:rFonts w:ascii="Arial" w:hAnsi="Arial" w:cs="Arial"/>
                <w:sz w:val="22"/>
                <w:szCs w:val="22"/>
              </w:rPr>
              <w:t xml:space="preserve">.2%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2.2%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5.3%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3.5%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2.6%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80.2% </w:t>
            </w: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Market</w:t>
            </w:r>
          </w:p>
        </w:tc>
        <w:tc>
          <w:tcPr>
            <w:tcW w:w="964" w:type="dxa"/>
          </w:tcPr>
          <w:p w:rsidR="00F513D6" w:rsidRPr="00F513D6" w:rsidRDefault="00F513D6" w:rsidP="00F513D6">
            <w:pPr>
              <w:jc w:val="center"/>
              <w:rPr>
                <w:rFonts w:ascii="Arial" w:hAnsi="Arial" w:cs="Arial"/>
                <w:sz w:val="22"/>
                <w:szCs w:val="22"/>
              </w:rPr>
            </w:pPr>
          </w:p>
        </w:tc>
        <w:tc>
          <w:tcPr>
            <w:tcW w:w="1073" w:type="dxa"/>
          </w:tcPr>
          <w:p w:rsidR="00F513D6" w:rsidRPr="00F513D6" w:rsidRDefault="00F513D6" w:rsidP="00F513D6">
            <w:pPr>
              <w:jc w:val="center"/>
              <w:rPr>
                <w:rFonts w:ascii="Arial" w:hAnsi="Arial" w:cs="Arial"/>
                <w:sz w:val="22"/>
                <w:szCs w:val="22"/>
              </w:rPr>
            </w:pPr>
          </w:p>
        </w:tc>
        <w:tc>
          <w:tcPr>
            <w:tcW w:w="1424" w:type="dxa"/>
          </w:tcPr>
          <w:p w:rsidR="00F513D6" w:rsidRPr="00F513D6" w:rsidRDefault="00F513D6" w:rsidP="00F513D6">
            <w:pPr>
              <w:jc w:val="center"/>
              <w:rPr>
                <w:rFonts w:ascii="Arial" w:hAnsi="Arial" w:cs="Arial"/>
                <w:sz w:val="22"/>
                <w:szCs w:val="22"/>
              </w:rPr>
            </w:pPr>
          </w:p>
        </w:tc>
        <w:tc>
          <w:tcPr>
            <w:tcW w:w="1717" w:type="dxa"/>
          </w:tcPr>
          <w:p w:rsidR="00F513D6" w:rsidRPr="00F513D6" w:rsidRDefault="00F513D6" w:rsidP="00F513D6">
            <w:pPr>
              <w:jc w:val="center"/>
              <w:rPr>
                <w:rFonts w:ascii="Arial" w:hAnsi="Arial" w:cs="Arial"/>
                <w:sz w:val="22"/>
                <w:szCs w:val="22"/>
              </w:rPr>
            </w:pPr>
          </w:p>
        </w:tc>
        <w:tc>
          <w:tcPr>
            <w:tcW w:w="1259" w:type="dxa"/>
          </w:tcPr>
          <w:p w:rsidR="00F513D6" w:rsidRPr="00F513D6" w:rsidRDefault="00F513D6" w:rsidP="00F513D6">
            <w:pPr>
              <w:jc w:val="center"/>
              <w:rPr>
                <w:rFonts w:ascii="Arial" w:hAnsi="Arial" w:cs="Arial"/>
                <w:sz w:val="22"/>
                <w:szCs w:val="22"/>
              </w:rPr>
            </w:pPr>
          </w:p>
        </w:tc>
        <w:tc>
          <w:tcPr>
            <w:tcW w:w="1208" w:type="dxa"/>
          </w:tcPr>
          <w:p w:rsidR="00F513D6" w:rsidRPr="00F513D6" w:rsidRDefault="00F513D6" w:rsidP="00F513D6">
            <w:pPr>
              <w:jc w:val="center"/>
              <w:rPr>
                <w:rFonts w:ascii="Arial" w:hAnsi="Arial" w:cs="Arial"/>
                <w:sz w:val="22"/>
                <w:szCs w:val="22"/>
              </w:rPr>
            </w:pP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Major</w:t>
            </w: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12.9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6.5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9.7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3.2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3.2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64.5 </w:t>
            </w: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Large</w:t>
            </w: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10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2.5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0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2.5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80 </w:t>
            </w: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Medium</w:t>
            </w: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5.5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2.2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5.5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4.4</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3.3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79.1 </w:t>
            </w: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Small</w:t>
            </w: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1.5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0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6.2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1.5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1.5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89.2</w:t>
            </w:r>
          </w:p>
        </w:tc>
      </w:tr>
      <w:tr w:rsidR="00F513D6" w:rsidRPr="00F513D6" w:rsidTr="00F513D6">
        <w:tc>
          <w:tcPr>
            <w:tcW w:w="1705" w:type="dxa"/>
          </w:tcPr>
          <w:p w:rsidR="00F513D6" w:rsidRPr="00F513D6" w:rsidRDefault="00F513D6" w:rsidP="00F513D6">
            <w:pPr>
              <w:rPr>
                <w:rFonts w:ascii="Arial" w:hAnsi="Arial" w:cs="Arial"/>
                <w:sz w:val="22"/>
                <w:szCs w:val="22"/>
              </w:rPr>
            </w:pPr>
          </w:p>
        </w:tc>
        <w:tc>
          <w:tcPr>
            <w:tcW w:w="964" w:type="dxa"/>
          </w:tcPr>
          <w:p w:rsidR="00F513D6" w:rsidRPr="00F513D6" w:rsidRDefault="00F513D6" w:rsidP="00F513D6">
            <w:pPr>
              <w:jc w:val="center"/>
              <w:rPr>
                <w:rFonts w:ascii="Arial" w:hAnsi="Arial" w:cs="Arial"/>
                <w:sz w:val="22"/>
                <w:szCs w:val="22"/>
              </w:rPr>
            </w:pPr>
          </w:p>
        </w:tc>
        <w:tc>
          <w:tcPr>
            <w:tcW w:w="1073" w:type="dxa"/>
          </w:tcPr>
          <w:p w:rsidR="00F513D6" w:rsidRPr="00F513D6" w:rsidRDefault="00F513D6" w:rsidP="00F513D6">
            <w:pPr>
              <w:jc w:val="center"/>
              <w:rPr>
                <w:rFonts w:ascii="Arial" w:hAnsi="Arial" w:cs="Arial"/>
                <w:sz w:val="22"/>
                <w:szCs w:val="22"/>
              </w:rPr>
            </w:pPr>
          </w:p>
        </w:tc>
        <w:tc>
          <w:tcPr>
            <w:tcW w:w="1424" w:type="dxa"/>
          </w:tcPr>
          <w:p w:rsidR="00F513D6" w:rsidRPr="00F513D6" w:rsidRDefault="00F513D6" w:rsidP="00F513D6">
            <w:pPr>
              <w:jc w:val="center"/>
              <w:rPr>
                <w:rFonts w:ascii="Arial" w:hAnsi="Arial" w:cs="Arial"/>
                <w:sz w:val="22"/>
                <w:szCs w:val="22"/>
              </w:rPr>
            </w:pPr>
          </w:p>
        </w:tc>
        <w:tc>
          <w:tcPr>
            <w:tcW w:w="1717" w:type="dxa"/>
          </w:tcPr>
          <w:p w:rsidR="00F513D6" w:rsidRPr="00F513D6" w:rsidRDefault="00F513D6" w:rsidP="00F513D6">
            <w:pPr>
              <w:jc w:val="center"/>
              <w:rPr>
                <w:rFonts w:ascii="Arial" w:hAnsi="Arial" w:cs="Arial"/>
                <w:sz w:val="22"/>
                <w:szCs w:val="22"/>
              </w:rPr>
            </w:pPr>
          </w:p>
        </w:tc>
        <w:tc>
          <w:tcPr>
            <w:tcW w:w="1259" w:type="dxa"/>
          </w:tcPr>
          <w:p w:rsidR="00F513D6" w:rsidRPr="00F513D6" w:rsidRDefault="00F513D6" w:rsidP="00F513D6">
            <w:pPr>
              <w:jc w:val="center"/>
              <w:rPr>
                <w:rFonts w:ascii="Arial" w:hAnsi="Arial" w:cs="Arial"/>
                <w:sz w:val="22"/>
                <w:szCs w:val="22"/>
              </w:rPr>
            </w:pPr>
          </w:p>
        </w:tc>
        <w:tc>
          <w:tcPr>
            <w:tcW w:w="1208" w:type="dxa"/>
          </w:tcPr>
          <w:p w:rsidR="00F513D6" w:rsidRPr="00F513D6" w:rsidRDefault="00F513D6" w:rsidP="00F513D6">
            <w:pPr>
              <w:jc w:val="center"/>
              <w:rPr>
                <w:rFonts w:ascii="Arial" w:hAnsi="Arial" w:cs="Arial"/>
                <w:sz w:val="22"/>
                <w:szCs w:val="22"/>
              </w:rPr>
            </w:pPr>
          </w:p>
        </w:tc>
      </w:tr>
      <w:tr w:rsidR="00F513D6" w:rsidRPr="00F513D6" w:rsidTr="00F513D6">
        <w:tc>
          <w:tcPr>
            <w:tcW w:w="1705" w:type="dxa"/>
          </w:tcPr>
          <w:p w:rsidR="00F513D6" w:rsidRPr="00F513D6" w:rsidRDefault="00F513D6" w:rsidP="00F513D6">
            <w:pPr>
              <w:rPr>
                <w:rFonts w:ascii="Arial" w:hAnsi="Arial" w:cs="Arial"/>
                <w:sz w:val="22"/>
                <w:szCs w:val="22"/>
              </w:rPr>
            </w:pPr>
            <w:r w:rsidRPr="00F513D6">
              <w:rPr>
                <w:rFonts w:ascii="Arial" w:hAnsi="Arial" w:cs="Arial"/>
                <w:sz w:val="22"/>
                <w:szCs w:val="22"/>
              </w:rPr>
              <w:t>Commercial</w:t>
            </w:r>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1.2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4.8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2.4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82.6 </w:t>
            </w:r>
          </w:p>
        </w:tc>
      </w:tr>
      <w:tr w:rsidR="00F513D6" w:rsidRPr="00F513D6" w:rsidTr="00F513D6">
        <w:tc>
          <w:tcPr>
            <w:tcW w:w="1705" w:type="dxa"/>
          </w:tcPr>
          <w:p w:rsidR="00F513D6" w:rsidRPr="00F513D6" w:rsidRDefault="00F513D6" w:rsidP="00F513D6">
            <w:pPr>
              <w:rPr>
                <w:rFonts w:ascii="Arial" w:hAnsi="Arial" w:cs="Arial"/>
                <w:sz w:val="22"/>
                <w:szCs w:val="22"/>
              </w:rPr>
            </w:pPr>
            <w:r>
              <w:rPr>
                <w:rFonts w:ascii="Arial" w:hAnsi="Arial" w:cs="Arial"/>
                <w:sz w:val="22"/>
                <w:szCs w:val="22"/>
              </w:rPr>
              <w:lastRenderedPageBreak/>
              <w:t>Non-</w:t>
            </w:r>
            <w:proofErr w:type="spellStart"/>
            <w:r>
              <w:rPr>
                <w:rFonts w:ascii="Arial" w:hAnsi="Arial" w:cs="Arial"/>
                <w:sz w:val="22"/>
                <w:szCs w:val="22"/>
              </w:rPr>
              <w:t>comm</w:t>
            </w:r>
            <w:proofErr w:type="spellEnd"/>
          </w:p>
        </w:tc>
        <w:tc>
          <w:tcPr>
            <w:tcW w:w="96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6.7 </w:t>
            </w:r>
          </w:p>
        </w:tc>
        <w:tc>
          <w:tcPr>
            <w:tcW w:w="1073"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 </w:t>
            </w:r>
          </w:p>
        </w:tc>
        <w:tc>
          <w:tcPr>
            <w:tcW w:w="1424"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6.7 </w:t>
            </w:r>
          </w:p>
        </w:tc>
        <w:tc>
          <w:tcPr>
            <w:tcW w:w="1717"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5 </w:t>
            </w:r>
          </w:p>
        </w:tc>
        <w:tc>
          <w:tcPr>
            <w:tcW w:w="1259"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3.3 </w:t>
            </w:r>
          </w:p>
        </w:tc>
        <w:tc>
          <w:tcPr>
            <w:tcW w:w="1208" w:type="dxa"/>
          </w:tcPr>
          <w:p w:rsidR="00F513D6" w:rsidRPr="00F513D6" w:rsidRDefault="00F513D6" w:rsidP="00F513D6">
            <w:pPr>
              <w:jc w:val="center"/>
              <w:rPr>
                <w:rFonts w:ascii="Arial" w:hAnsi="Arial" w:cs="Arial"/>
                <w:sz w:val="22"/>
                <w:szCs w:val="22"/>
              </w:rPr>
            </w:pPr>
            <w:r w:rsidRPr="00F513D6">
              <w:rPr>
                <w:rFonts w:ascii="Arial" w:hAnsi="Arial" w:cs="Arial"/>
                <w:sz w:val="22"/>
                <w:szCs w:val="22"/>
              </w:rPr>
              <w:t xml:space="preserve">73.3 </w:t>
            </w:r>
          </w:p>
        </w:tc>
      </w:tr>
    </w:tbl>
    <w:p w:rsidR="00F513D6" w:rsidRPr="00F513D6" w:rsidRDefault="00F513D6" w:rsidP="00F513D6">
      <w:pPr>
        <w:rPr>
          <w:sz w:val="22"/>
          <w:szCs w:val="22"/>
        </w:rPr>
      </w:pPr>
    </w:p>
    <w:p w:rsidR="00F513D6" w:rsidRPr="00F513D6" w:rsidRDefault="00F513D6" w:rsidP="00F513D6">
      <w:pPr>
        <w:rPr>
          <w:sz w:val="22"/>
          <w:szCs w:val="22"/>
        </w:rPr>
      </w:pPr>
      <w:r w:rsidRPr="00F513D6">
        <w:rPr>
          <w:sz w:val="22"/>
          <w:szCs w:val="22"/>
        </w:rPr>
        <w:t xml:space="preserve">Led by large and major markets, the use of drones in radio moved up a fair amount over the last year. Overall drone us is up 8 points, but it really depends on the details of exactly what you’re looking at.  A year ago, under 10 percent of major market stations were involved in any way with drones.  Now it’s more than a third.  Commercial stations went up 7 points in some sort of drone usage, but non-commercial stations rose by more than 11 points.   </w:t>
      </w:r>
    </w:p>
    <w:p w:rsidR="00F513D6" w:rsidRPr="00F513D6" w:rsidRDefault="00F513D6" w:rsidP="00F513D6">
      <w:pPr>
        <w:rPr>
          <w:sz w:val="22"/>
          <w:szCs w:val="22"/>
        </w:rPr>
      </w:pPr>
    </w:p>
    <w:p w:rsidR="00F513D6" w:rsidRPr="00F513D6" w:rsidRDefault="00F513D6" w:rsidP="00F513D6">
      <w:pPr>
        <w:pStyle w:val="BodyText"/>
        <w:tabs>
          <w:tab w:val="left" w:pos="9360"/>
        </w:tabs>
        <w:rPr>
          <w:szCs w:val="22"/>
        </w:rPr>
      </w:pPr>
      <w:r w:rsidRPr="00F513D6">
        <w:rPr>
          <w:szCs w:val="22"/>
        </w:rPr>
        <w:t>Major markets are those with 1 million or more potential listeners.  Large markets are from 250,000 to 1 million.  Medium markets are 50,000 to 250,000.  Small markets are fewer than 50,000.</w:t>
      </w:r>
    </w:p>
    <w:p w:rsidR="00F513D6" w:rsidRPr="00F513D6" w:rsidRDefault="00F513D6" w:rsidP="00F513D6">
      <w:pPr>
        <w:pStyle w:val="BodyText"/>
        <w:tabs>
          <w:tab w:val="left" w:pos="9360"/>
        </w:tabs>
        <w:rPr>
          <w:b/>
          <w:szCs w:val="22"/>
        </w:rPr>
      </w:pPr>
    </w:p>
    <w:p w:rsidR="00F513D6" w:rsidRPr="00F513D6" w:rsidRDefault="00F513D6" w:rsidP="00F513D6">
      <w:pPr>
        <w:tabs>
          <w:tab w:val="left" w:pos="2880"/>
          <w:tab w:val="left" w:pos="9360"/>
        </w:tabs>
        <w:rPr>
          <w:sz w:val="22"/>
          <w:szCs w:val="22"/>
        </w:rPr>
      </w:pPr>
    </w:p>
    <w:p w:rsidR="00243116" w:rsidRPr="00F513D6" w:rsidRDefault="00243116" w:rsidP="00F513D6">
      <w:pPr>
        <w:tabs>
          <w:tab w:val="left" w:pos="2880"/>
          <w:tab w:val="left" w:pos="9360"/>
        </w:tabs>
        <w:rPr>
          <w:sz w:val="22"/>
          <w:szCs w:val="22"/>
        </w:rPr>
      </w:pPr>
    </w:p>
    <w:p w:rsidR="005F0E7B" w:rsidRPr="00F513D6" w:rsidRDefault="005F0E7B" w:rsidP="00F513D6">
      <w:pPr>
        <w:rPr>
          <w:b/>
          <w:bCs/>
          <w:sz w:val="22"/>
          <w:szCs w:val="22"/>
        </w:rPr>
      </w:pPr>
      <w:r w:rsidRPr="00F513D6">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5F0E7B" w:rsidRPr="00F513D6" w:rsidRDefault="005F0E7B" w:rsidP="00F513D6">
      <w:pPr>
        <w:rPr>
          <w:sz w:val="22"/>
          <w:szCs w:val="22"/>
        </w:rPr>
      </w:pPr>
    </w:p>
    <w:p w:rsidR="005F0E7B" w:rsidRPr="00F513D6" w:rsidRDefault="005F0E7B" w:rsidP="00F513D6">
      <w:pPr>
        <w:rPr>
          <w:sz w:val="22"/>
          <w:szCs w:val="22"/>
        </w:rPr>
      </w:pPr>
    </w:p>
    <w:p w:rsidR="005F0E7B" w:rsidRPr="00F513D6" w:rsidRDefault="005F0E7B" w:rsidP="00F513D6">
      <w:pPr>
        <w:outlineLvl w:val="0"/>
        <w:rPr>
          <w:sz w:val="22"/>
          <w:szCs w:val="22"/>
        </w:rPr>
      </w:pPr>
      <w:r w:rsidRPr="00F513D6">
        <w:rPr>
          <w:b/>
          <w:bCs/>
          <w:sz w:val="22"/>
          <w:szCs w:val="22"/>
        </w:rPr>
        <w:t>About the Survey</w:t>
      </w:r>
    </w:p>
    <w:p w:rsidR="005F0E7B" w:rsidRPr="00F513D6" w:rsidRDefault="005F0E7B" w:rsidP="00F513D6">
      <w:pPr>
        <w:rPr>
          <w:sz w:val="22"/>
          <w:szCs w:val="22"/>
        </w:rPr>
      </w:pPr>
    </w:p>
    <w:p w:rsidR="005F0E7B" w:rsidRPr="00F513D6" w:rsidRDefault="005F0E7B" w:rsidP="00F513D6">
      <w:pPr>
        <w:rPr>
          <w:sz w:val="22"/>
          <w:szCs w:val="22"/>
        </w:rPr>
      </w:pPr>
      <w:r w:rsidRPr="00F513D6">
        <w:rPr>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rsidR="005F0E7B" w:rsidRPr="00F513D6" w:rsidRDefault="005F0E7B" w:rsidP="00F513D6">
      <w:pPr>
        <w:rPr>
          <w:sz w:val="22"/>
          <w:szCs w:val="22"/>
        </w:rPr>
      </w:pPr>
    </w:p>
    <w:p w:rsidR="005F0E7B" w:rsidRPr="00F513D6" w:rsidRDefault="005F0E7B" w:rsidP="00F513D6">
      <w:pPr>
        <w:rPr>
          <w:sz w:val="22"/>
          <w:szCs w:val="22"/>
        </w:rPr>
      </w:pPr>
    </w:p>
    <w:p w:rsidR="0052095F" w:rsidRPr="00F513D6" w:rsidRDefault="0052095F" w:rsidP="00F513D6">
      <w:pPr>
        <w:rPr>
          <w:sz w:val="22"/>
          <w:szCs w:val="22"/>
        </w:rPr>
      </w:pPr>
    </w:p>
    <w:sectPr w:rsidR="0052095F" w:rsidRPr="00F5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6A1"/>
    <w:multiLevelType w:val="multilevel"/>
    <w:tmpl w:val="523C321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3723D7D"/>
    <w:multiLevelType w:val="hybridMultilevel"/>
    <w:tmpl w:val="37E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379"/>
    <w:multiLevelType w:val="hybridMultilevel"/>
    <w:tmpl w:val="23E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96CAD"/>
    <w:multiLevelType w:val="multilevel"/>
    <w:tmpl w:val="CC50976A"/>
    <w:lvl w:ilvl="0">
      <w:start w:val="20"/>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3B0C12"/>
    <w:multiLevelType w:val="multilevel"/>
    <w:tmpl w:val="8E3C17DC"/>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E564E2A"/>
    <w:multiLevelType w:val="multilevel"/>
    <w:tmpl w:val="C4929E68"/>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16"/>
    <w:rsid w:val="00220438"/>
    <w:rsid w:val="00243116"/>
    <w:rsid w:val="00386174"/>
    <w:rsid w:val="003D6E81"/>
    <w:rsid w:val="004303DD"/>
    <w:rsid w:val="0052095F"/>
    <w:rsid w:val="005F0E7B"/>
    <w:rsid w:val="00A35950"/>
    <w:rsid w:val="00AA65B7"/>
    <w:rsid w:val="00B363B8"/>
    <w:rsid w:val="00BF0FE1"/>
    <w:rsid w:val="00CC10F8"/>
    <w:rsid w:val="00F17977"/>
    <w:rsid w:val="00F5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5D65B-46A6-4EE5-B4E8-8239E2B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16"/>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243116"/>
    <w:pPr>
      <w:ind w:left="720"/>
      <w:contextualSpacing/>
    </w:pPr>
  </w:style>
  <w:style w:type="table" w:styleId="TableGrid">
    <w:name w:val="Table Grid"/>
    <w:basedOn w:val="TableNormal"/>
    <w:rsid w:val="00F513D6"/>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13D6"/>
    <w:pPr>
      <w:suppressAutoHyphens/>
      <w:autoSpaceDN w:val="0"/>
      <w:textAlignment w:val="baseline"/>
    </w:pPr>
    <w:rPr>
      <w:sz w:val="22"/>
    </w:rPr>
  </w:style>
  <w:style w:type="character" w:customStyle="1" w:styleId="BodyTextChar">
    <w:name w:val="Body Text Char"/>
    <w:basedOn w:val="DefaultParagraphFont"/>
    <w:link w:val="BodyText"/>
    <w:rsid w:val="00F513D6"/>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2018-02-27T20:21:00Z</dcterms:created>
  <dcterms:modified xsi:type="dcterms:W3CDTF">2018-02-27T20:21:00Z</dcterms:modified>
</cp:coreProperties>
</file>