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F922" w14:textId="77777777" w:rsidR="00450A53" w:rsidRDefault="00450A53" w:rsidP="00450A53">
      <w:pPr>
        <w:spacing w:line="360" w:lineRule="auto"/>
      </w:pPr>
      <w:r>
        <w:rPr>
          <w:noProof/>
        </w:rPr>
        <mc:AlternateContent>
          <mc:Choice Requires="wps">
            <w:drawing>
              <wp:anchor distT="0" distB="0" distL="114300" distR="114300" simplePos="0" relativeHeight="251659264" behindDoc="0" locked="0" layoutInCell="1" allowOverlap="1" wp14:anchorId="382D5F5E" wp14:editId="3FB05FBB">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0E85E915" w14:textId="77777777" w:rsidR="00450A53" w:rsidRPr="00535CB1" w:rsidRDefault="00450A53" w:rsidP="00450A53">
                            <w:pPr>
                              <w:rPr>
                                <w:sz w:val="22"/>
                                <w:szCs w:val="22"/>
                              </w:rPr>
                            </w:pPr>
                            <w:r w:rsidRPr="00535CB1">
                              <w:rPr>
                                <w:sz w:val="22"/>
                                <w:szCs w:val="22"/>
                              </w:rPr>
                              <w:t>An introductory note, if you will.  2019 marks my 25th year conducting the</w:t>
                            </w:r>
                          </w:p>
                          <w:p w14:paraId="424B83A6" w14:textId="77777777" w:rsidR="00450A53" w:rsidRPr="00535CB1" w:rsidRDefault="00450A53" w:rsidP="00450A53">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660659E9" w14:textId="77777777" w:rsidR="00450A53" w:rsidRPr="00535CB1" w:rsidRDefault="00450A53" w:rsidP="00450A53">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2D5F5E"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0E85E915" w14:textId="77777777" w:rsidR="00450A53" w:rsidRPr="00535CB1" w:rsidRDefault="00450A53" w:rsidP="00450A53">
                      <w:pPr>
                        <w:rPr>
                          <w:sz w:val="22"/>
                          <w:szCs w:val="22"/>
                        </w:rPr>
                      </w:pPr>
                      <w:r w:rsidRPr="00535CB1">
                        <w:rPr>
                          <w:sz w:val="22"/>
                          <w:szCs w:val="22"/>
                        </w:rPr>
                        <w:t>An introductory note, if you will.  2019 marks my 25th year conducting the</w:t>
                      </w:r>
                    </w:p>
                    <w:p w14:paraId="424B83A6" w14:textId="77777777" w:rsidR="00450A53" w:rsidRPr="00535CB1" w:rsidRDefault="00450A53" w:rsidP="00450A53">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660659E9" w14:textId="77777777" w:rsidR="00450A53" w:rsidRPr="00535CB1" w:rsidRDefault="00450A53" w:rsidP="00450A53">
                      <w:pPr>
                        <w:rPr>
                          <w:sz w:val="22"/>
                          <w:szCs w:val="22"/>
                        </w:rPr>
                      </w:pPr>
                      <w:r w:rsidRPr="00535CB1">
                        <w:rPr>
                          <w:sz w:val="22"/>
                          <w:szCs w:val="22"/>
                        </w:rPr>
                        <w:t>- Bob Papper</w:t>
                      </w:r>
                    </w:p>
                  </w:txbxContent>
                </v:textbox>
              </v:shape>
            </w:pict>
          </mc:Fallback>
        </mc:AlternateContent>
      </w:r>
    </w:p>
    <w:p w14:paraId="6311610B" w14:textId="77777777" w:rsidR="00450A53" w:rsidRDefault="00450A53" w:rsidP="00450A53">
      <w:pPr>
        <w:spacing w:line="360" w:lineRule="auto"/>
      </w:pPr>
    </w:p>
    <w:p w14:paraId="2CC4DF14" w14:textId="77777777" w:rsidR="00450A53" w:rsidRDefault="00450A53" w:rsidP="00450A53">
      <w:pPr>
        <w:spacing w:line="360" w:lineRule="auto"/>
      </w:pPr>
    </w:p>
    <w:p w14:paraId="17AED451" w14:textId="77777777" w:rsidR="00450A53" w:rsidRDefault="00450A53" w:rsidP="00450A53">
      <w:pPr>
        <w:spacing w:line="360" w:lineRule="auto"/>
      </w:pPr>
    </w:p>
    <w:p w14:paraId="2913D6EF" w14:textId="77777777" w:rsidR="00450A53" w:rsidRDefault="00450A53" w:rsidP="00450A53">
      <w:pPr>
        <w:spacing w:line="360" w:lineRule="auto"/>
      </w:pPr>
    </w:p>
    <w:p w14:paraId="79294871" w14:textId="77777777" w:rsidR="00450A53" w:rsidRDefault="00450A53" w:rsidP="00450A53">
      <w:pPr>
        <w:spacing w:line="360" w:lineRule="auto"/>
      </w:pPr>
    </w:p>
    <w:p w14:paraId="3FCD0B0A" w14:textId="77777777" w:rsidR="00450A53" w:rsidRDefault="00450A53" w:rsidP="00450A53">
      <w:pPr>
        <w:spacing w:line="360" w:lineRule="auto"/>
      </w:pPr>
    </w:p>
    <w:p w14:paraId="3F7D6B23" w14:textId="77777777" w:rsidR="00450A53" w:rsidRDefault="00450A53" w:rsidP="002C2822">
      <w:pPr>
        <w:pStyle w:val="BodyText"/>
        <w:tabs>
          <w:tab w:val="left" w:pos="9360"/>
        </w:tabs>
        <w:rPr>
          <w:b/>
          <w:szCs w:val="22"/>
        </w:rPr>
      </w:pPr>
    </w:p>
    <w:p w14:paraId="672A0F57" w14:textId="77777777" w:rsidR="00450A53" w:rsidRDefault="00450A53" w:rsidP="002C2822">
      <w:pPr>
        <w:pStyle w:val="BodyText"/>
        <w:tabs>
          <w:tab w:val="left" w:pos="9360"/>
        </w:tabs>
        <w:rPr>
          <w:b/>
          <w:szCs w:val="22"/>
        </w:rPr>
      </w:pPr>
    </w:p>
    <w:p w14:paraId="3287E902" w14:textId="4983FA67" w:rsidR="006D4AE8" w:rsidRPr="002C2822" w:rsidRDefault="006D4AE8" w:rsidP="002C2822">
      <w:pPr>
        <w:pStyle w:val="BodyText"/>
        <w:tabs>
          <w:tab w:val="left" w:pos="9360"/>
        </w:tabs>
        <w:rPr>
          <w:b/>
          <w:szCs w:val="22"/>
        </w:rPr>
      </w:pPr>
      <w:r w:rsidRPr="002C2822">
        <w:rPr>
          <w:b/>
          <w:szCs w:val="22"/>
        </w:rPr>
        <w:t xml:space="preserve">TV </w:t>
      </w:r>
      <w:r w:rsidR="002C2822">
        <w:rPr>
          <w:b/>
          <w:szCs w:val="22"/>
        </w:rPr>
        <w:t>W</w:t>
      </w:r>
      <w:r w:rsidRPr="002C2822">
        <w:rPr>
          <w:b/>
          <w:szCs w:val="22"/>
        </w:rPr>
        <w:t xml:space="preserve">ebsite </w:t>
      </w:r>
      <w:r w:rsidR="002C2822">
        <w:rPr>
          <w:b/>
          <w:szCs w:val="22"/>
        </w:rPr>
        <w:t>P</w:t>
      </w:r>
      <w:r w:rsidRPr="002C2822">
        <w:rPr>
          <w:b/>
          <w:szCs w:val="22"/>
        </w:rPr>
        <w:t>rofitability</w:t>
      </w:r>
      <w:r w:rsidR="002C2822" w:rsidRPr="002C2822">
        <w:rPr>
          <w:b/>
          <w:szCs w:val="22"/>
        </w:rPr>
        <w:t xml:space="preserve"> </w:t>
      </w:r>
      <w:r w:rsidR="00BE0523">
        <w:rPr>
          <w:b/>
          <w:szCs w:val="22"/>
        </w:rPr>
        <w:t>Edges Up</w:t>
      </w:r>
    </w:p>
    <w:p w14:paraId="6E97F0DB" w14:textId="32867020" w:rsidR="002C2822" w:rsidRPr="002C2822" w:rsidRDefault="002C2822" w:rsidP="002C2822">
      <w:pPr>
        <w:pStyle w:val="BodyText"/>
        <w:tabs>
          <w:tab w:val="left" w:pos="9360"/>
        </w:tabs>
        <w:rPr>
          <w:szCs w:val="22"/>
        </w:rPr>
      </w:pPr>
      <w:r w:rsidRPr="002C2822">
        <w:rPr>
          <w:b/>
          <w:szCs w:val="22"/>
        </w:rPr>
        <w:t>by Bob Papper</w:t>
      </w:r>
    </w:p>
    <w:p w14:paraId="2302B76A" w14:textId="6509ADB5" w:rsidR="006D4AE8" w:rsidRDefault="006D4AE8" w:rsidP="002C2822">
      <w:pPr>
        <w:pStyle w:val="BodyText"/>
        <w:tabs>
          <w:tab w:val="left" w:pos="9360"/>
        </w:tabs>
        <w:rPr>
          <w:szCs w:val="22"/>
        </w:rPr>
      </w:pPr>
    </w:p>
    <w:p w14:paraId="3F59F729" w14:textId="77777777" w:rsidR="00A0638D" w:rsidRPr="002C2822" w:rsidRDefault="00A0638D" w:rsidP="002C2822">
      <w:pPr>
        <w:pStyle w:val="BodyText"/>
        <w:tabs>
          <w:tab w:val="left" w:pos="9360"/>
        </w:tabs>
        <w:rPr>
          <w:szCs w:val="22"/>
        </w:rPr>
      </w:pPr>
    </w:p>
    <w:p w14:paraId="6FC13805" w14:textId="3C35FB98" w:rsidR="00B01FFA" w:rsidRDefault="006D4AE8" w:rsidP="002C2822">
      <w:pPr>
        <w:pStyle w:val="BodyText"/>
        <w:tabs>
          <w:tab w:val="left" w:pos="9360"/>
        </w:tabs>
        <w:rPr>
          <w:szCs w:val="22"/>
        </w:rPr>
      </w:pPr>
      <w:r w:rsidRPr="002C2822">
        <w:rPr>
          <w:szCs w:val="22"/>
        </w:rPr>
        <w:t xml:space="preserve">This past year saw a </w:t>
      </w:r>
      <w:r w:rsidR="00B01FFA">
        <w:rPr>
          <w:szCs w:val="22"/>
        </w:rPr>
        <w:t xml:space="preserve">modest increase </w:t>
      </w:r>
      <w:r w:rsidRPr="002C2822">
        <w:rPr>
          <w:szCs w:val="22"/>
        </w:rPr>
        <w:t xml:space="preserve">in </w:t>
      </w:r>
      <w:r w:rsidR="00A0638D">
        <w:rPr>
          <w:szCs w:val="22"/>
        </w:rPr>
        <w:t xml:space="preserve">TV </w:t>
      </w:r>
      <w:r w:rsidRPr="002C2822">
        <w:rPr>
          <w:szCs w:val="22"/>
        </w:rPr>
        <w:t xml:space="preserve">website profitability – </w:t>
      </w:r>
      <w:r w:rsidR="00B01FFA">
        <w:rPr>
          <w:szCs w:val="22"/>
        </w:rPr>
        <w:t xml:space="preserve">up nearly 2 points after last year’s </w:t>
      </w:r>
      <w:r w:rsidRPr="002C2822">
        <w:rPr>
          <w:szCs w:val="22"/>
        </w:rPr>
        <w:t>6</w:t>
      </w:r>
      <w:r w:rsidR="00B01FFA">
        <w:rPr>
          <w:szCs w:val="22"/>
        </w:rPr>
        <w:t>-</w:t>
      </w:r>
      <w:r w:rsidRPr="002C2822">
        <w:rPr>
          <w:szCs w:val="22"/>
        </w:rPr>
        <w:t>point</w:t>
      </w:r>
      <w:r w:rsidR="00B01FFA">
        <w:rPr>
          <w:szCs w:val="22"/>
        </w:rPr>
        <w:t xml:space="preserve"> drop</w:t>
      </w:r>
      <w:r w:rsidRPr="002C2822">
        <w:rPr>
          <w:szCs w:val="22"/>
        </w:rPr>
        <w:t xml:space="preserve">. </w:t>
      </w:r>
      <w:r w:rsidR="006C6486">
        <w:rPr>
          <w:szCs w:val="22"/>
        </w:rPr>
        <w:t xml:space="preserve"> The latest RTDNA/Hofstra University Survey found that </w:t>
      </w:r>
      <w:r w:rsidR="00B01FFA">
        <w:rPr>
          <w:szCs w:val="22"/>
        </w:rPr>
        <w:t>the biggest change came in a big profitability jump in markets 26 to 50.  Otherwise, changes were relatively small.  Note that over 40% of news directors don’t know the answer to the question.</w:t>
      </w:r>
    </w:p>
    <w:p w14:paraId="21F05F29" w14:textId="77777777" w:rsidR="00B01FFA" w:rsidRDefault="00B01FFA" w:rsidP="002C2822">
      <w:pPr>
        <w:pStyle w:val="BodyText"/>
        <w:tabs>
          <w:tab w:val="left" w:pos="9360"/>
        </w:tabs>
        <w:rPr>
          <w:szCs w:val="22"/>
        </w:rPr>
      </w:pPr>
    </w:p>
    <w:p w14:paraId="70CFB511" w14:textId="2CAA85D3" w:rsidR="006D4AE8" w:rsidRPr="002C2822" w:rsidRDefault="006D4AE8" w:rsidP="002C2822">
      <w:pPr>
        <w:outlineLvl w:val="0"/>
        <w:rPr>
          <w:b/>
          <w:sz w:val="22"/>
          <w:szCs w:val="22"/>
        </w:rPr>
      </w:pPr>
      <w:r w:rsidRPr="002C2822">
        <w:rPr>
          <w:b/>
          <w:sz w:val="22"/>
          <w:szCs w:val="22"/>
        </w:rPr>
        <w:t>Is the TV website making money? 201</w:t>
      </w:r>
      <w:r w:rsidR="00B01FFA">
        <w:rPr>
          <w:b/>
          <w:sz w:val="22"/>
          <w:szCs w:val="22"/>
        </w:rPr>
        <w:t>9</w:t>
      </w:r>
      <w:r w:rsidRPr="002C2822">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054"/>
        <w:gridCol w:w="1710"/>
        <w:gridCol w:w="1016"/>
        <w:gridCol w:w="1440"/>
      </w:tblGrid>
      <w:tr w:rsidR="006D4AE8" w:rsidRPr="002C2822" w14:paraId="5E7B47DE" w14:textId="77777777" w:rsidTr="000C557E">
        <w:trPr>
          <w:trHeight w:val="350"/>
        </w:trPr>
        <w:tc>
          <w:tcPr>
            <w:tcW w:w="1998" w:type="dxa"/>
          </w:tcPr>
          <w:p w14:paraId="6B623001" w14:textId="77777777" w:rsidR="006D4AE8" w:rsidRPr="002C2822" w:rsidRDefault="006D4AE8" w:rsidP="002C2822">
            <w:pPr>
              <w:rPr>
                <w:sz w:val="22"/>
                <w:szCs w:val="22"/>
              </w:rPr>
            </w:pPr>
          </w:p>
        </w:tc>
        <w:tc>
          <w:tcPr>
            <w:tcW w:w="1054" w:type="dxa"/>
          </w:tcPr>
          <w:p w14:paraId="30D886AF" w14:textId="77777777" w:rsidR="006D4AE8" w:rsidRPr="002C2822" w:rsidRDefault="006D4AE8" w:rsidP="002C2822">
            <w:pPr>
              <w:jc w:val="center"/>
              <w:rPr>
                <w:sz w:val="22"/>
                <w:szCs w:val="22"/>
              </w:rPr>
            </w:pPr>
            <w:r w:rsidRPr="002C2822">
              <w:rPr>
                <w:sz w:val="22"/>
                <w:szCs w:val="22"/>
              </w:rPr>
              <w:t>Profit</w:t>
            </w:r>
          </w:p>
        </w:tc>
        <w:tc>
          <w:tcPr>
            <w:tcW w:w="1710" w:type="dxa"/>
          </w:tcPr>
          <w:p w14:paraId="7DB3A5D6" w14:textId="77777777" w:rsidR="006D4AE8" w:rsidRPr="002C2822" w:rsidRDefault="006D4AE8" w:rsidP="002C2822">
            <w:pPr>
              <w:jc w:val="center"/>
              <w:rPr>
                <w:sz w:val="22"/>
                <w:szCs w:val="22"/>
              </w:rPr>
            </w:pPr>
            <w:r w:rsidRPr="002C2822">
              <w:rPr>
                <w:sz w:val="22"/>
                <w:szCs w:val="22"/>
              </w:rPr>
              <w:t>Breaking Even</w:t>
            </w:r>
          </w:p>
        </w:tc>
        <w:tc>
          <w:tcPr>
            <w:tcW w:w="1016" w:type="dxa"/>
          </w:tcPr>
          <w:p w14:paraId="6FEE00C5" w14:textId="77777777" w:rsidR="006D4AE8" w:rsidRPr="002C2822" w:rsidRDefault="006D4AE8" w:rsidP="002C2822">
            <w:pPr>
              <w:jc w:val="center"/>
              <w:rPr>
                <w:sz w:val="22"/>
                <w:szCs w:val="22"/>
              </w:rPr>
            </w:pPr>
            <w:r w:rsidRPr="002C2822">
              <w:rPr>
                <w:sz w:val="22"/>
                <w:szCs w:val="22"/>
              </w:rPr>
              <w:t>Loss</w:t>
            </w:r>
          </w:p>
        </w:tc>
        <w:tc>
          <w:tcPr>
            <w:tcW w:w="1440" w:type="dxa"/>
          </w:tcPr>
          <w:p w14:paraId="18A0737D" w14:textId="77777777" w:rsidR="006D4AE8" w:rsidRPr="002C2822" w:rsidRDefault="006D4AE8" w:rsidP="002C2822">
            <w:pPr>
              <w:jc w:val="center"/>
              <w:rPr>
                <w:sz w:val="22"/>
                <w:szCs w:val="22"/>
              </w:rPr>
            </w:pPr>
            <w:r w:rsidRPr="002C2822">
              <w:rPr>
                <w:sz w:val="22"/>
                <w:szCs w:val="22"/>
              </w:rPr>
              <w:t>Don’t Know</w:t>
            </w:r>
          </w:p>
        </w:tc>
      </w:tr>
      <w:tr w:rsidR="006D4AE8" w:rsidRPr="002C2822" w14:paraId="49C01CA2" w14:textId="77777777" w:rsidTr="000C557E">
        <w:tc>
          <w:tcPr>
            <w:tcW w:w="1998" w:type="dxa"/>
          </w:tcPr>
          <w:p w14:paraId="3A80F819" w14:textId="77777777" w:rsidR="006D4AE8" w:rsidRPr="002C2822" w:rsidRDefault="006D4AE8" w:rsidP="002C2822">
            <w:pPr>
              <w:rPr>
                <w:sz w:val="22"/>
                <w:szCs w:val="22"/>
              </w:rPr>
            </w:pPr>
            <w:r w:rsidRPr="002C2822">
              <w:rPr>
                <w:sz w:val="22"/>
                <w:szCs w:val="22"/>
              </w:rPr>
              <w:t>All TV</w:t>
            </w:r>
          </w:p>
        </w:tc>
        <w:tc>
          <w:tcPr>
            <w:tcW w:w="1054" w:type="dxa"/>
          </w:tcPr>
          <w:p w14:paraId="00BAB8DE" w14:textId="2FA915EC" w:rsidR="006D4AE8" w:rsidRPr="002C2822" w:rsidRDefault="00B01FFA" w:rsidP="002C2822">
            <w:pPr>
              <w:jc w:val="center"/>
              <w:rPr>
                <w:sz w:val="22"/>
                <w:szCs w:val="22"/>
              </w:rPr>
            </w:pPr>
            <w:r>
              <w:rPr>
                <w:sz w:val="22"/>
                <w:szCs w:val="22"/>
              </w:rPr>
              <w:t xml:space="preserve">42.5% </w:t>
            </w:r>
            <w:r w:rsidR="006D4AE8" w:rsidRPr="002C2822">
              <w:rPr>
                <w:sz w:val="22"/>
                <w:szCs w:val="22"/>
              </w:rPr>
              <w:t xml:space="preserve"> </w:t>
            </w:r>
          </w:p>
        </w:tc>
        <w:tc>
          <w:tcPr>
            <w:tcW w:w="1710" w:type="dxa"/>
          </w:tcPr>
          <w:p w14:paraId="1652D1B3" w14:textId="09D01077" w:rsidR="006D4AE8" w:rsidRPr="002C2822" w:rsidRDefault="00B01FFA" w:rsidP="002C2822">
            <w:pPr>
              <w:jc w:val="center"/>
              <w:rPr>
                <w:sz w:val="22"/>
                <w:szCs w:val="22"/>
              </w:rPr>
            </w:pPr>
            <w:r>
              <w:rPr>
                <w:sz w:val="22"/>
                <w:szCs w:val="22"/>
              </w:rPr>
              <w:t xml:space="preserve">10.3% </w:t>
            </w:r>
            <w:r w:rsidR="006D4AE8" w:rsidRPr="002C2822">
              <w:rPr>
                <w:sz w:val="22"/>
                <w:szCs w:val="22"/>
              </w:rPr>
              <w:t xml:space="preserve"> </w:t>
            </w:r>
          </w:p>
        </w:tc>
        <w:tc>
          <w:tcPr>
            <w:tcW w:w="1016" w:type="dxa"/>
          </w:tcPr>
          <w:p w14:paraId="02438A96" w14:textId="3E53E126" w:rsidR="006D4AE8" w:rsidRPr="002C2822" w:rsidRDefault="00B01FFA" w:rsidP="002C2822">
            <w:pPr>
              <w:jc w:val="center"/>
              <w:rPr>
                <w:sz w:val="22"/>
                <w:szCs w:val="22"/>
              </w:rPr>
            </w:pPr>
            <w:r>
              <w:rPr>
                <w:sz w:val="22"/>
                <w:szCs w:val="22"/>
              </w:rPr>
              <w:t xml:space="preserve">4% </w:t>
            </w:r>
            <w:r w:rsidR="006D4AE8" w:rsidRPr="002C2822">
              <w:rPr>
                <w:sz w:val="22"/>
                <w:szCs w:val="22"/>
              </w:rPr>
              <w:t xml:space="preserve"> </w:t>
            </w:r>
          </w:p>
        </w:tc>
        <w:tc>
          <w:tcPr>
            <w:tcW w:w="1440" w:type="dxa"/>
          </w:tcPr>
          <w:p w14:paraId="74285134" w14:textId="33FC7758" w:rsidR="006D4AE8" w:rsidRPr="002C2822" w:rsidRDefault="00B01FFA" w:rsidP="002C2822">
            <w:pPr>
              <w:jc w:val="center"/>
              <w:rPr>
                <w:sz w:val="22"/>
                <w:szCs w:val="22"/>
              </w:rPr>
            </w:pPr>
            <w:r>
              <w:rPr>
                <w:sz w:val="22"/>
                <w:szCs w:val="22"/>
              </w:rPr>
              <w:t xml:space="preserve">43.3% </w:t>
            </w:r>
            <w:r w:rsidR="006D4AE8" w:rsidRPr="002C2822">
              <w:rPr>
                <w:sz w:val="22"/>
                <w:szCs w:val="22"/>
              </w:rPr>
              <w:t xml:space="preserve"> </w:t>
            </w:r>
          </w:p>
        </w:tc>
      </w:tr>
      <w:tr w:rsidR="00B01FFA" w:rsidRPr="002C2822" w14:paraId="1E433732" w14:textId="77777777" w:rsidTr="000C557E">
        <w:tc>
          <w:tcPr>
            <w:tcW w:w="1998" w:type="dxa"/>
          </w:tcPr>
          <w:p w14:paraId="32FFA59A" w14:textId="19BAFDBD" w:rsidR="00B01FFA" w:rsidRPr="002C2822" w:rsidRDefault="00B01FFA" w:rsidP="002C2822">
            <w:pPr>
              <w:rPr>
                <w:sz w:val="22"/>
                <w:szCs w:val="22"/>
              </w:rPr>
            </w:pPr>
            <w:r>
              <w:rPr>
                <w:sz w:val="22"/>
                <w:szCs w:val="22"/>
              </w:rPr>
              <w:t>Market size:</w:t>
            </w:r>
          </w:p>
        </w:tc>
        <w:tc>
          <w:tcPr>
            <w:tcW w:w="1054" w:type="dxa"/>
          </w:tcPr>
          <w:p w14:paraId="1480C71C" w14:textId="77777777" w:rsidR="00B01FFA" w:rsidRDefault="00B01FFA" w:rsidP="002C2822">
            <w:pPr>
              <w:jc w:val="center"/>
              <w:rPr>
                <w:sz w:val="22"/>
                <w:szCs w:val="22"/>
              </w:rPr>
            </w:pPr>
          </w:p>
        </w:tc>
        <w:tc>
          <w:tcPr>
            <w:tcW w:w="1710" w:type="dxa"/>
          </w:tcPr>
          <w:p w14:paraId="2B633F8F" w14:textId="77777777" w:rsidR="00B01FFA" w:rsidRDefault="00B01FFA" w:rsidP="002C2822">
            <w:pPr>
              <w:jc w:val="center"/>
              <w:rPr>
                <w:sz w:val="22"/>
                <w:szCs w:val="22"/>
              </w:rPr>
            </w:pPr>
          </w:p>
        </w:tc>
        <w:tc>
          <w:tcPr>
            <w:tcW w:w="1016" w:type="dxa"/>
          </w:tcPr>
          <w:p w14:paraId="198A283E" w14:textId="77777777" w:rsidR="00B01FFA" w:rsidRDefault="00B01FFA" w:rsidP="002C2822">
            <w:pPr>
              <w:jc w:val="center"/>
              <w:rPr>
                <w:sz w:val="22"/>
                <w:szCs w:val="22"/>
              </w:rPr>
            </w:pPr>
          </w:p>
        </w:tc>
        <w:tc>
          <w:tcPr>
            <w:tcW w:w="1440" w:type="dxa"/>
          </w:tcPr>
          <w:p w14:paraId="64369D73" w14:textId="77777777" w:rsidR="00B01FFA" w:rsidRDefault="00B01FFA" w:rsidP="002C2822">
            <w:pPr>
              <w:jc w:val="center"/>
              <w:rPr>
                <w:sz w:val="22"/>
                <w:szCs w:val="22"/>
              </w:rPr>
            </w:pPr>
          </w:p>
        </w:tc>
      </w:tr>
      <w:tr w:rsidR="006D4AE8" w:rsidRPr="002C2822" w14:paraId="134447B7" w14:textId="77777777" w:rsidTr="000C557E">
        <w:tc>
          <w:tcPr>
            <w:tcW w:w="1998" w:type="dxa"/>
          </w:tcPr>
          <w:p w14:paraId="6A1758D4" w14:textId="3802D8FB" w:rsidR="006D4AE8" w:rsidRPr="002C2822" w:rsidRDefault="006D4AE8" w:rsidP="002C2822">
            <w:pPr>
              <w:rPr>
                <w:sz w:val="22"/>
                <w:szCs w:val="22"/>
              </w:rPr>
            </w:pPr>
            <w:proofErr w:type="gramStart"/>
            <w:r w:rsidRPr="002C2822">
              <w:rPr>
                <w:sz w:val="22"/>
                <w:szCs w:val="22"/>
              </w:rPr>
              <w:t>1</w:t>
            </w:r>
            <w:r w:rsidR="00B01FFA">
              <w:rPr>
                <w:sz w:val="22"/>
                <w:szCs w:val="22"/>
              </w:rPr>
              <w:t xml:space="preserve">  </w:t>
            </w:r>
            <w:r w:rsidRPr="002C2822">
              <w:rPr>
                <w:sz w:val="22"/>
                <w:szCs w:val="22"/>
              </w:rPr>
              <w:t>-</w:t>
            </w:r>
            <w:proofErr w:type="gramEnd"/>
            <w:r w:rsidRPr="002C2822">
              <w:rPr>
                <w:sz w:val="22"/>
                <w:szCs w:val="22"/>
              </w:rPr>
              <w:t>25</w:t>
            </w:r>
          </w:p>
        </w:tc>
        <w:tc>
          <w:tcPr>
            <w:tcW w:w="1054" w:type="dxa"/>
          </w:tcPr>
          <w:p w14:paraId="1CB79F06" w14:textId="0F836C09" w:rsidR="006D4AE8" w:rsidRPr="002C2822" w:rsidRDefault="00B01FFA" w:rsidP="002C2822">
            <w:pPr>
              <w:jc w:val="center"/>
              <w:rPr>
                <w:sz w:val="22"/>
                <w:szCs w:val="22"/>
              </w:rPr>
            </w:pPr>
            <w:r>
              <w:rPr>
                <w:sz w:val="22"/>
                <w:szCs w:val="22"/>
              </w:rPr>
              <w:t xml:space="preserve">41.7 </w:t>
            </w:r>
            <w:r w:rsidR="002C2822" w:rsidRPr="002C2822">
              <w:rPr>
                <w:sz w:val="22"/>
                <w:szCs w:val="22"/>
              </w:rPr>
              <w:t xml:space="preserve"> </w:t>
            </w:r>
            <w:r w:rsidR="006D4AE8" w:rsidRPr="002C2822">
              <w:rPr>
                <w:sz w:val="22"/>
                <w:szCs w:val="22"/>
              </w:rPr>
              <w:t xml:space="preserve"> </w:t>
            </w:r>
          </w:p>
        </w:tc>
        <w:tc>
          <w:tcPr>
            <w:tcW w:w="1710" w:type="dxa"/>
          </w:tcPr>
          <w:p w14:paraId="4B5C7322" w14:textId="43957E0C" w:rsidR="006D4AE8" w:rsidRPr="002C2822" w:rsidRDefault="00B01FFA" w:rsidP="002C2822">
            <w:pPr>
              <w:jc w:val="center"/>
              <w:rPr>
                <w:sz w:val="22"/>
                <w:szCs w:val="22"/>
              </w:rPr>
            </w:pPr>
            <w:r>
              <w:rPr>
                <w:sz w:val="22"/>
                <w:szCs w:val="22"/>
              </w:rPr>
              <w:t>11.1</w:t>
            </w:r>
          </w:p>
        </w:tc>
        <w:tc>
          <w:tcPr>
            <w:tcW w:w="1016" w:type="dxa"/>
          </w:tcPr>
          <w:p w14:paraId="34B9C3E8" w14:textId="6E236C1C" w:rsidR="006D4AE8" w:rsidRPr="002C2822" w:rsidRDefault="00B01FFA" w:rsidP="002C2822">
            <w:pPr>
              <w:jc w:val="center"/>
              <w:rPr>
                <w:sz w:val="22"/>
                <w:szCs w:val="22"/>
              </w:rPr>
            </w:pPr>
            <w:r>
              <w:rPr>
                <w:sz w:val="22"/>
                <w:szCs w:val="22"/>
              </w:rPr>
              <w:t xml:space="preserve">8.3 </w:t>
            </w:r>
            <w:r w:rsidR="006D4AE8" w:rsidRPr="002C2822">
              <w:rPr>
                <w:sz w:val="22"/>
                <w:szCs w:val="22"/>
              </w:rPr>
              <w:t xml:space="preserve"> </w:t>
            </w:r>
          </w:p>
        </w:tc>
        <w:tc>
          <w:tcPr>
            <w:tcW w:w="1440" w:type="dxa"/>
          </w:tcPr>
          <w:p w14:paraId="559D6BFA" w14:textId="6B1814B5" w:rsidR="006D4AE8" w:rsidRPr="002C2822" w:rsidRDefault="00B01FFA" w:rsidP="002C2822">
            <w:pPr>
              <w:jc w:val="center"/>
              <w:rPr>
                <w:sz w:val="22"/>
                <w:szCs w:val="22"/>
              </w:rPr>
            </w:pPr>
            <w:r>
              <w:rPr>
                <w:sz w:val="22"/>
                <w:szCs w:val="22"/>
              </w:rPr>
              <w:t xml:space="preserve">38.9 </w:t>
            </w:r>
            <w:r w:rsidR="006D4AE8" w:rsidRPr="002C2822">
              <w:rPr>
                <w:sz w:val="22"/>
                <w:szCs w:val="22"/>
              </w:rPr>
              <w:t xml:space="preserve"> </w:t>
            </w:r>
          </w:p>
        </w:tc>
      </w:tr>
      <w:tr w:rsidR="006D4AE8" w:rsidRPr="002C2822" w14:paraId="264D5B39" w14:textId="77777777" w:rsidTr="000C557E">
        <w:tc>
          <w:tcPr>
            <w:tcW w:w="1998" w:type="dxa"/>
          </w:tcPr>
          <w:p w14:paraId="3D7FEE8E" w14:textId="4834FBC1" w:rsidR="006D4AE8" w:rsidRPr="002C2822" w:rsidRDefault="00B01FFA" w:rsidP="002C2822">
            <w:pPr>
              <w:rPr>
                <w:sz w:val="22"/>
                <w:szCs w:val="22"/>
              </w:rPr>
            </w:pPr>
            <w:r>
              <w:rPr>
                <w:sz w:val="22"/>
                <w:szCs w:val="22"/>
              </w:rPr>
              <w:t>2</w:t>
            </w:r>
            <w:r w:rsidR="006D4AE8" w:rsidRPr="002C2822">
              <w:rPr>
                <w:sz w:val="22"/>
                <w:szCs w:val="22"/>
              </w:rPr>
              <w:t>6</w:t>
            </w:r>
            <w:r>
              <w:rPr>
                <w:sz w:val="22"/>
                <w:szCs w:val="22"/>
              </w:rPr>
              <w:t xml:space="preserve"> </w:t>
            </w:r>
            <w:r w:rsidR="006D4AE8" w:rsidRPr="002C2822">
              <w:rPr>
                <w:sz w:val="22"/>
                <w:szCs w:val="22"/>
              </w:rPr>
              <w:t>-</w:t>
            </w:r>
            <w:r>
              <w:rPr>
                <w:sz w:val="22"/>
                <w:szCs w:val="22"/>
              </w:rPr>
              <w:t xml:space="preserve"> </w:t>
            </w:r>
            <w:r w:rsidR="006D4AE8" w:rsidRPr="002C2822">
              <w:rPr>
                <w:sz w:val="22"/>
                <w:szCs w:val="22"/>
              </w:rPr>
              <w:t>50</w:t>
            </w:r>
          </w:p>
        </w:tc>
        <w:tc>
          <w:tcPr>
            <w:tcW w:w="1054" w:type="dxa"/>
          </w:tcPr>
          <w:p w14:paraId="6FEF8477" w14:textId="4CCF8661" w:rsidR="006D4AE8" w:rsidRPr="002C2822" w:rsidRDefault="00B01FFA" w:rsidP="002C2822">
            <w:pPr>
              <w:jc w:val="center"/>
              <w:rPr>
                <w:sz w:val="22"/>
                <w:szCs w:val="22"/>
              </w:rPr>
            </w:pPr>
            <w:r>
              <w:rPr>
                <w:sz w:val="22"/>
                <w:szCs w:val="22"/>
              </w:rPr>
              <w:t xml:space="preserve">54.3 </w:t>
            </w:r>
            <w:r w:rsidR="002C2822" w:rsidRPr="002C2822">
              <w:rPr>
                <w:sz w:val="22"/>
                <w:szCs w:val="22"/>
              </w:rPr>
              <w:t xml:space="preserve"> </w:t>
            </w:r>
            <w:r w:rsidR="006D4AE8" w:rsidRPr="002C2822">
              <w:rPr>
                <w:sz w:val="22"/>
                <w:szCs w:val="22"/>
              </w:rPr>
              <w:t xml:space="preserve">  </w:t>
            </w:r>
          </w:p>
        </w:tc>
        <w:tc>
          <w:tcPr>
            <w:tcW w:w="1710" w:type="dxa"/>
          </w:tcPr>
          <w:p w14:paraId="52B9C2FD" w14:textId="6A45E64F" w:rsidR="006D4AE8" w:rsidRPr="002C2822" w:rsidRDefault="00B01FFA" w:rsidP="002C2822">
            <w:pPr>
              <w:jc w:val="center"/>
              <w:rPr>
                <w:sz w:val="22"/>
                <w:szCs w:val="22"/>
              </w:rPr>
            </w:pPr>
            <w:r>
              <w:rPr>
                <w:sz w:val="22"/>
                <w:szCs w:val="22"/>
              </w:rPr>
              <w:t xml:space="preserve">11.4 </w:t>
            </w:r>
          </w:p>
        </w:tc>
        <w:tc>
          <w:tcPr>
            <w:tcW w:w="1016" w:type="dxa"/>
          </w:tcPr>
          <w:p w14:paraId="3B7A4432" w14:textId="30EDBAA9" w:rsidR="006D4AE8" w:rsidRPr="002C2822" w:rsidRDefault="00B01FFA" w:rsidP="002C2822">
            <w:pPr>
              <w:jc w:val="center"/>
              <w:rPr>
                <w:sz w:val="22"/>
                <w:szCs w:val="22"/>
              </w:rPr>
            </w:pPr>
            <w:r>
              <w:rPr>
                <w:sz w:val="22"/>
                <w:szCs w:val="22"/>
              </w:rPr>
              <w:t xml:space="preserve">0 </w:t>
            </w:r>
            <w:r w:rsidR="006D4AE8" w:rsidRPr="002C2822">
              <w:rPr>
                <w:sz w:val="22"/>
                <w:szCs w:val="22"/>
              </w:rPr>
              <w:t xml:space="preserve"> </w:t>
            </w:r>
          </w:p>
        </w:tc>
        <w:tc>
          <w:tcPr>
            <w:tcW w:w="1440" w:type="dxa"/>
          </w:tcPr>
          <w:p w14:paraId="5C96F54C" w14:textId="48FD0337" w:rsidR="006D4AE8" w:rsidRPr="002C2822" w:rsidRDefault="00B01FFA" w:rsidP="002C2822">
            <w:pPr>
              <w:jc w:val="center"/>
              <w:rPr>
                <w:sz w:val="22"/>
                <w:szCs w:val="22"/>
              </w:rPr>
            </w:pPr>
            <w:r>
              <w:rPr>
                <w:sz w:val="22"/>
                <w:szCs w:val="22"/>
              </w:rPr>
              <w:t xml:space="preserve">34.3 </w:t>
            </w:r>
          </w:p>
        </w:tc>
      </w:tr>
      <w:tr w:rsidR="006D4AE8" w:rsidRPr="002C2822" w14:paraId="0034BAF2" w14:textId="77777777" w:rsidTr="000C557E">
        <w:tc>
          <w:tcPr>
            <w:tcW w:w="1998" w:type="dxa"/>
          </w:tcPr>
          <w:p w14:paraId="00B161CB" w14:textId="42D71D5F" w:rsidR="006D4AE8" w:rsidRPr="002C2822" w:rsidRDefault="00B01FFA" w:rsidP="002C2822">
            <w:pPr>
              <w:rPr>
                <w:sz w:val="22"/>
                <w:szCs w:val="22"/>
              </w:rPr>
            </w:pPr>
            <w:r>
              <w:rPr>
                <w:sz w:val="22"/>
                <w:szCs w:val="22"/>
              </w:rPr>
              <w:t>5</w:t>
            </w:r>
            <w:r w:rsidR="006D4AE8" w:rsidRPr="002C2822">
              <w:rPr>
                <w:sz w:val="22"/>
                <w:szCs w:val="22"/>
              </w:rPr>
              <w:t>1</w:t>
            </w:r>
            <w:r>
              <w:rPr>
                <w:sz w:val="22"/>
                <w:szCs w:val="22"/>
              </w:rPr>
              <w:t xml:space="preserve"> </w:t>
            </w:r>
            <w:r w:rsidR="006D4AE8" w:rsidRPr="002C2822">
              <w:rPr>
                <w:sz w:val="22"/>
                <w:szCs w:val="22"/>
              </w:rPr>
              <w:t>-</w:t>
            </w:r>
            <w:r>
              <w:rPr>
                <w:sz w:val="22"/>
                <w:szCs w:val="22"/>
              </w:rPr>
              <w:t xml:space="preserve"> </w:t>
            </w:r>
            <w:r w:rsidR="006D4AE8" w:rsidRPr="002C2822">
              <w:rPr>
                <w:sz w:val="22"/>
                <w:szCs w:val="22"/>
              </w:rPr>
              <w:t>100</w:t>
            </w:r>
          </w:p>
        </w:tc>
        <w:tc>
          <w:tcPr>
            <w:tcW w:w="1054" w:type="dxa"/>
          </w:tcPr>
          <w:p w14:paraId="3001522F" w14:textId="03E09A73" w:rsidR="006D4AE8" w:rsidRPr="002C2822" w:rsidRDefault="00B01FFA" w:rsidP="002C2822">
            <w:pPr>
              <w:jc w:val="center"/>
              <w:rPr>
                <w:sz w:val="22"/>
                <w:szCs w:val="22"/>
              </w:rPr>
            </w:pPr>
            <w:r>
              <w:rPr>
                <w:sz w:val="22"/>
                <w:szCs w:val="22"/>
              </w:rPr>
              <w:t xml:space="preserve">50.7 </w:t>
            </w:r>
            <w:r w:rsidR="006D4AE8" w:rsidRPr="002C2822">
              <w:rPr>
                <w:sz w:val="22"/>
                <w:szCs w:val="22"/>
              </w:rPr>
              <w:t xml:space="preserve"> </w:t>
            </w:r>
          </w:p>
        </w:tc>
        <w:tc>
          <w:tcPr>
            <w:tcW w:w="1710" w:type="dxa"/>
          </w:tcPr>
          <w:p w14:paraId="3DBA99B6" w14:textId="70C5AB34" w:rsidR="006D4AE8" w:rsidRPr="002C2822" w:rsidRDefault="00B01FFA" w:rsidP="002C2822">
            <w:pPr>
              <w:jc w:val="center"/>
              <w:rPr>
                <w:sz w:val="22"/>
                <w:szCs w:val="22"/>
              </w:rPr>
            </w:pPr>
            <w:r>
              <w:rPr>
                <w:sz w:val="22"/>
                <w:szCs w:val="22"/>
              </w:rPr>
              <w:t xml:space="preserve">14.5 </w:t>
            </w:r>
            <w:r w:rsidR="006D4AE8" w:rsidRPr="002C2822">
              <w:rPr>
                <w:sz w:val="22"/>
                <w:szCs w:val="22"/>
              </w:rPr>
              <w:t xml:space="preserve"> </w:t>
            </w:r>
          </w:p>
        </w:tc>
        <w:tc>
          <w:tcPr>
            <w:tcW w:w="1016" w:type="dxa"/>
          </w:tcPr>
          <w:p w14:paraId="3AA7A8C8" w14:textId="2B1EABAE" w:rsidR="006D4AE8" w:rsidRPr="002C2822" w:rsidRDefault="00B01FFA" w:rsidP="002C2822">
            <w:pPr>
              <w:jc w:val="center"/>
              <w:rPr>
                <w:sz w:val="22"/>
                <w:szCs w:val="22"/>
              </w:rPr>
            </w:pPr>
            <w:r>
              <w:rPr>
                <w:sz w:val="22"/>
                <w:szCs w:val="22"/>
              </w:rPr>
              <w:t xml:space="preserve">2.9 </w:t>
            </w:r>
          </w:p>
        </w:tc>
        <w:tc>
          <w:tcPr>
            <w:tcW w:w="1440" w:type="dxa"/>
          </w:tcPr>
          <w:p w14:paraId="4D02D1BA" w14:textId="340BEFD8" w:rsidR="006D4AE8" w:rsidRPr="002C2822" w:rsidRDefault="00B01FFA" w:rsidP="002C2822">
            <w:pPr>
              <w:jc w:val="center"/>
              <w:rPr>
                <w:sz w:val="22"/>
                <w:szCs w:val="22"/>
              </w:rPr>
            </w:pPr>
            <w:r>
              <w:rPr>
                <w:sz w:val="22"/>
                <w:szCs w:val="22"/>
              </w:rPr>
              <w:t xml:space="preserve">31.9 </w:t>
            </w:r>
            <w:r w:rsidR="006D4AE8" w:rsidRPr="002C2822">
              <w:rPr>
                <w:sz w:val="22"/>
                <w:szCs w:val="22"/>
              </w:rPr>
              <w:t xml:space="preserve"> </w:t>
            </w:r>
          </w:p>
        </w:tc>
      </w:tr>
      <w:tr w:rsidR="006D4AE8" w:rsidRPr="002C2822" w14:paraId="4D19B091" w14:textId="77777777" w:rsidTr="000C557E">
        <w:tc>
          <w:tcPr>
            <w:tcW w:w="1998" w:type="dxa"/>
          </w:tcPr>
          <w:p w14:paraId="01F47863" w14:textId="372C0BCB" w:rsidR="006D4AE8" w:rsidRPr="002C2822" w:rsidRDefault="006D4AE8" w:rsidP="002C2822">
            <w:pPr>
              <w:rPr>
                <w:sz w:val="22"/>
                <w:szCs w:val="22"/>
              </w:rPr>
            </w:pPr>
            <w:r w:rsidRPr="002C2822">
              <w:rPr>
                <w:sz w:val="22"/>
                <w:szCs w:val="22"/>
              </w:rPr>
              <w:t>101</w:t>
            </w:r>
            <w:r w:rsidR="00B01FFA">
              <w:rPr>
                <w:sz w:val="22"/>
                <w:szCs w:val="22"/>
              </w:rPr>
              <w:t xml:space="preserve"> </w:t>
            </w:r>
            <w:r w:rsidRPr="002C2822">
              <w:rPr>
                <w:sz w:val="22"/>
                <w:szCs w:val="22"/>
              </w:rPr>
              <w:t>-</w:t>
            </w:r>
            <w:r w:rsidR="00B01FFA">
              <w:rPr>
                <w:sz w:val="22"/>
                <w:szCs w:val="22"/>
              </w:rPr>
              <w:t xml:space="preserve"> </w:t>
            </w:r>
            <w:r w:rsidRPr="002C2822">
              <w:rPr>
                <w:sz w:val="22"/>
                <w:szCs w:val="22"/>
              </w:rPr>
              <w:t>150</w:t>
            </w:r>
          </w:p>
        </w:tc>
        <w:tc>
          <w:tcPr>
            <w:tcW w:w="1054" w:type="dxa"/>
          </w:tcPr>
          <w:p w14:paraId="1ABB105C" w14:textId="29FCA678" w:rsidR="006D4AE8" w:rsidRPr="002C2822" w:rsidRDefault="00B01FFA" w:rsidP="002C2822">
            <w:pPr>
              <w:jc w:val="center"/>
              <w:rPr>
                <w:sz w:val="22"/>
                <w:szCs w:val="22"/>
              </w:rPr>
            </w:pPr>
            <w:r>
              <w:rPr>
                <w:sz w:val="22"/>
                <w:szCs w:val="22"/>
              </w:rPr>
              <w:t xml:space="preserve">31.7 </w:t>
            </w:r>
            <w:r w:rsidR="006D4AE8" w:rsidRPr="002C2822">
              <w:rPr>
                <w:sz w:val="22"/>
                <w:szCs w:val="22"/>
              </w:rPr>
              <w:t xml:space="preserve"> </w:t>
            </w:r>
          </w:p>
        </w:tc>
        <w:tc>
          <w:tcPr>
            <w:tcW w:w="1710" w:type="dxa"/>
          </w:tcPr>
          <w:p w14:paraId="156F6996" w14:textId="00819E8C" w:rsidR="006D4AE8" w:rsidRPr="002C2822" w:rsidRDefault="00B01FFA" w:rsidP="002C2822">
            <w:pPr>
              <w:jc w:val="center"/>
              <w:rPr>
                <w:sz w:val="22"/>
                <w:szCs w:val="22"/>
              </w:rPr>
            </w:pPr>
            <w:r>
              <w:rPr>
                <w:sz w:val="22"/>
                <w:szCs w:val="22"/>
              </w:rPr>
              <w:t xml:space="preserve">5 </w:t>
            </w:r>
            <w:r w:rsidR="006D4AE8" w:rsidRPr="002C2822">
              <w:rPr>
                <w:sz w:val="22"/>
                <w:szCs w:val="22"/>
              </w:rPr>
              <w:t xml:space="preserve"> </w:t>
            </w:r>
          </w:p>
        </w:tc>
        <w:tc>
          <w:tcPr>
            <w:tcW w:w="1016" w:type="dxa"/>
          </w:tcPr>
          <w:p w14:paraId="6E3260B7" w14:textId="44D412DA" w:rsidR="006D4AE8" w:rsidRPr="002C2822" w:rsidRDefault="00B01FFA" w:rsidP="002C2822">
            <w:pPr>
              <w:jc w:val="center"/>
              <w:rPr>
                <w:sz w:val="22"/>
                <w:szCs w:val="22"/>
              </w:rPr>
            </w:pPr>
            <w:r>
              <w:rPr>
                <w:sz w:val="22"/>
                <w:szCs w:val="22"/>
              </w:rPr>
              <w:t xml:space="preserve">5 </w:t>
            </w:r>
            <w:r w:rsidR="006D4AE8" w:rsidRPr="002C2822">
              <w:rPr>
                <w:sz w:val="22"/>
                <w:szCs w:val="22"/>
              </w:rPr>
              <w:t xml:space="preserve"> </w:t>
            </w:r>
          </w:p>
        </w:tc>
        <w:tc>
          <w:tcPr>
            <w:tcW w:w="1440" w:type="dxa"/>
          </w:tcPr>
          <w:p w14:paraId="1DB53E09" w14:textId="66E15FEC" w:rsidR="006D4AE8" w:rsidRPr="002C2822" w:rsidRDefault="00B01FFA" w:rsidP="002C2822">
            <w:pPr>
              <w:jc w:val="center"/>
              <w:rPr>
                <w:sz w:val="22"/>
                <w:szCs w:val="22"/>
              </w:rPr>
            </w:pPr>
            <w:r>
              <w:rPr>
                <w:sz w:val="22"/>
                <w:szCs w:val="22"/>
              </w:rPr>
              <w:t xml:space="preserve">58.3 </w:t>
            </w:r>
          </w:p>
        </w:tc>
      </w:tr>
      <w:tr w:rsidR="006D4AE8" w:rsidRPr="002C2822" w14:paraId="49579A93" w14:textId="77777777" w:rsidTr="000C557E">
        <w:tc>
          <w:tcPr>
            <w:tcW w:w="1998" w:type="dxa"/>
          </w:tcPr>
          <w:p w14:paraId="6D978796" w14:textId="571B648C" w:rsidR="006D4AE8" w:rsidRPr="002C2822" w:rsidRDefault="006D4AE8" w:rsidP="002C2822">
            <w:pPr>
              <w:rPr>
                <w:sz w:val="22"/>
                <w:szCs w:val="22"/>
              </w:rPr>
            </w:pPr>
            <w:r w:rsidRPr="002C2822">
              <w:rPr>
                <w:sz w:val="22"/>
                <w:szCs w:val="22"/>
              </w:rPr>
              <w:t>151+</w:t>
            </w:r>
          </w:p>
        </w:tc>
        <w:tc>
          <w:tcPr>
            <w:tcW w:w="1054" w:type="dxa"/>
          </w:tcPr>
          <w:p w14:paraId="69396852" w14:textId="5C8B02FD" w:rsidR="006D4AE8" w:rsidRPr="002C2822" w:rsidRDefault="00B01FFA" w:rsidP="002C2822">
            <w:pPr>
              <w:jc w:val="center"/>
              <w:rPr>
                <w:sz w:val="22"/>
                <w:szCs w:val="22"/>
              </w:rPr>
            </w:pPr>
            <w:r>
              <w:rPr>
                <w:sz w:val="22"/>
                <w:szCs w:val="22"/>
              </w:rPr>
              <w:t xml:space="preserve">36.5 </w:t>
            </w:r>
          </w:p>
        </w:tc>
        <w:tc>
          <w:tcPr>
            <w:tcW w:w="1710" w:type="dxa"/>
          </w:tcPr>
          <w:p w14:paraId="5A64021B" w14:textId="4DF4375E" w:rsidR="006D4AE8" w:rsidRPr="002C2822" w:rsidRDefault="00B01FFA" w:rsidP="002C2822">
            <w:pPr>
              <w:jc w:val="center"/>
              <w:rPr>
                <w:sz w:val="22"/>
                <w:szCs w:val="22"/>
              </w:rPr>
            </w:pPr>
            <w:r>
              <w:rPr>
                <w:sz w:val="22"/>
                <w:szCs w:val="22"/>
              </w:rPr>
              <w:t xml:space="preserve">9.6 </w:t>
            </w:r>
            <w:r w:rsidR="006D4AE8" w:rsidRPr="002C2822">
              <w:rPr>
                <w:sz w:val="22"/>
                <w:szCs w:val="22"/>
              </w:rPr>
              <w:t xml:space="preserve"> </w:t>
            </w:r>
          </w:p>
        </w:tc>
        <w:tc>
          <w:tcPr>
            <w:tcW w:w="1016" w:type="dxa"/>
          </w:tcPr>
          <w:p w14:paraId="49B1AA5D" w14:textId="43C8D8F8" w:rsidR="006D4AE8" w:rsidRPr="002C2822" w:rsidRDefault="00B01FFA" w:rsidP="002C2822">
            <w:pPr>
              <w:jc w:val="center"/>
              <w:rPr>
                <w:sz w:val="22"/>
                <w:szCs w:val="22"/>
              </w:rPr>
            </w:pPr>
            <w:r>
              <w:rPr>
                <w:sz w:val="22"/>
                <w:szCs w:val="22"/>
              </w:rPr>
              <w:t xml:space="preserve">3.8 </w:t>
            </w:r>
            <w:r w:rsidR="006D4AE8" w:rsidRPr="002C2822">
              <w:rPr>
                <w:sz w:val="22"/>
                <w:szCs w:val="22"/>
              </w:rPr>
              <w:t xml:space="preserve"> </w:t>
            </w:r>
          </w:p>
        </w:tc>
        <w:tc>
          <w:tcPr>
            <w:tcW w:w="1440" w:type="dxa"/>
          </w:tcPr>
          <w:p w14:paraId="3FE1827C" w14:textId="137E1467" w:rsidR="006D4AE8" w:rsidRPr="002C2822" w:rsidRDefault="00B01FFA" w:rsidP="002C2822">
            <w:pPr>
              <w:jc w:val="center"/>
              <w:rPr>
                <w:sz w:val="22"/>
                <w:szCs w:val="22"/>
              </w:rPr>
            </w:pPr>
            <w:r>
              <w:rPr>
                <w:sz w:val="22"/>
                <w:szCs w:val="22"/>
              </w:rPr>
              <w:t xml:space="preserve">50 </w:t>
            </w:r>
            <w:r w:rsidR="006D4AE8" w:rsidRPr="002C2822">
              <w:rPr>
                <w:sz w:val="22"/>
                <w:szCs w:val="22"/>
              </w:rPr>
              <w:t xml:space="preserve"> </w:t>
            </w:r>
          </w:p>
        </w:tc>
      </w:tr>
    </w:tbl>
    <w:p w14:paraId="40D1D6D7" w14:textId="77777777" w:rsidR="006D4AE8" w:rsidRDefault="006D4AE8" w:rsidP="002C2822">
      <w:pPr>
        <w:rPr>
          <w:sz w:val="22"/>
          <w:szCs w:val="22"/>
        </w:rPr>
      </w:pPr>
    </w:p>
    <w:p w14:paraId="1D787F41" w14:textId="11128845" w:rsidR="001161F0" w:rsidRPr="00501526" w:rsidRDefault="00B01FFA" w:rsidP="00501526">
      <w:pPr>
        <w:rPr>
          <w:sz w:val="22"/>
          <w:szCs w:val="22"/>
        </w:rPr>
      </w:pPr>
      <w:r w:rsidRPr="00501526">
        <w:rPr>
          <w:sz w:val="22"/>
          <w:szCs w:val="22"/>
        </w:rPr>
        <w:t xml:space="preserve">Two market groups now pass the 50% mark in profitability.  Websites at the smallest two groups of newsrooms (1 to 10 staffers and 11 to 20) </w:t>
      </w:r>
      <w:r w:rsidR="00501526" w:rsidRPr="00501526">
        <w:rPr>
          <w:sz w:val="22"/>
          <w:szCs w:val="22"/>
        </w:rPr>
        <w:t xml:space="preserve">hold the percentage down.  As usual, Fox affiliates </w:t>
      </w:r>
      <w:proofErr w:type="gramStart"/>
      <w:r w:rsidR="00501526" w:rsidRPr="00501526">
        <w:rPr>
          <w:sz w:val="22"/>
          <w:szCs w:val="22"/>
        </w:rPr>
        <w:t>lag behind</w:t>
      </w:r>
      <w:proofErr w:type="gramEnd"/>
      <w:r w:rsidR="00501526" w:rsidRPr="00501526">
        <w:rPr>
          <w:sz w:val="22"/>
          <w:szCs w:val="22"/>
        </w:rPr>
        <w:t xml:space="preserve"> all others</w:t>
      </w:r>
      <w:r w:rsidR="00501526">
        <w:rPr>
          <w:sz w:val="22"/>
          <w:szCs w:val="22"/>
        </w:rPr>
        <w:t xml:space="preserve"> – by a lot – although none showed a loss.  Stations in the Midwest and West </w:t>
      </w:r>
      <w:proofErr w:type="gramStart"/>
      <w:r w:rsidR="00501526">
        <w:rPr>
          <w:sz w:val="22"/>
          <w:szCs w:val="22"/>
        </w:rPr>
        <w:t>lag behind</w:t>
      </w:r>
      <w:proofErr w:type="gramEnd"/>
      <w:r w:rsidR="00501526">
        <w:rPr>
          <w:sz w:val="22"/>
          <w:szCs w:val="22"/>
        </w:rPr>
        <w:t xml:space="preserve"> those in the Northeast and South.</w:t>
      </w:r>
    </w:p>
    <w:p w14:paraId="088563F5" w14:textId="77777777" w:rsidR="00B01FFA" w:rsidRPr="00501526" w:rsidRDefault="00B01FFA" w:rsidP="002C2822">
      <w:pPr>
        <w:rPr>
          <w:sz w:val="22"/>
          <w:szCs w:val="22"/>
        </w:rPr>
      </w:pPr>
    </w:p>
    <w:p w14:paraId="5741F8A4" w14:textId="77777777" w:rsidR="00B01FFA" w:rsidRPr="00501526" w:rsidRDefault="00B01FFA" w:rsidP="002C2822">
      <w:pPr>
        <w:rPr>
          <w:sz w:val="22"/>
          <w:szCs w:val="22"/>
        </w:rPr>
      </w:pPr>
    </w:p>
    <w:p w14:paraId="3344EC06" w14:textId="77777777" w:rsidR="00450A53" w:rsidRDefault="00450A53" w:rsidP="002C2822">
      <w:pPr>
        <w:rPr>
          <w:b/>
          <w:sz w:val="22"/>
          <w:szCs w:val="22"/>
        </w:rPr>
      </w:pPr>
    </w:p>
    <w:p w14:paraId="2F89CD23" w14:textId="77777777" w:rsidR="00450A53" w:rsidRDefault="00450A53" w:rsidP="002C2822">
      <w:pPr>
        <w:rPr>
          <w:b/>
          <w:sz w:val="22"/>
          <w:szCs w:val="22"/>
        </w:rPr>
      </w:pPr>
    </w:p>
    <w:p w14:paraId="22BE8709" w14:textId="77777777" w:rsidR="00450A53" w:rsidRDefault="00450A53" w:rsidP="002C2822">
      <w:pPr>
        <w:rPr>
          <w:b/>
          <w:sz w:val="22"/>
          <w:szCs w:val="22"/>
        </w:rPr>
      </w:pPr>
    </w:p>
    <w:p w14:paraId="32F22228" w14:textId="77777777" w:rsidR="00450A53" w:rsidRDefault="00450A53" w:rsidP="002C2822">
      <w:pPr>
        <w:rPr>
          <w:b/>
          <w:sz w:val="22"/>
          <w:szCs w:val="22"/>
        </w:rPr>
      </w:pPr>
    </w:p>
    <w:p w14:paraId="5F488307" w14:textId="77777777" w:rsidR="00450A53" w:rsidRDefault="00450A53" w:rsidP="002C2822">
      <w:pPr>
        <w:rPr>
          <w:b/>
          <w:sz w:val="22"/>
          <w:szCs w:val="22"/>
        </w:rPr>
      </w:pPr>
    </w:p>
    <w:p w14:paraId="18B4DEF4" w14:textId="77777777" w:rsidR="00450A53" w:rsidRDefault="00450A53" w:rsidP="002C2822">
      <w:pPr>
        <w:rPr>
          <w:b/>
          <w:sz w:val="22"/>
          <w:szCs w:val="22"/>
        </w:rPr>
      </w:pPr>
    </w:p>
    <w:p w14:paraId="5BFD124F" w14:textId="77777777" w:rsidR="00450A53" w:rsidRDefault="00450A53" w:rsidP="002C2822">
      <w:pPr>
        <w:rPr>
          <w:b/>
          <w:sz w:val="22"/>
          <w:szCs w:val="22"/>
        </w:rPr>
      </w:pPr>
    </w:p>
    <w:p w14:paraId="1FA8DE98" w14:textId="77777777" w:rsidR="00450A53" w:rsidRDefault="00450A53" w:rsidP="002C2822">
      <w:pPr>
        <w:rPr>
          <w:b/>
          <w:sz w:val="22"/>
          <w:szCs w:val="22"/>
        </w:rPr>
      </w:pPr>
    </w:p>
    <w:p w14:paraId="67384097" w14:textId="77777777" w:rsidR="00450A53" w:rsidRDefault="00450A53" w:rsidP="002C2822">
      <w:pPr>
        <w:rPr>
          <w:b/>
          <w:sz w:val="22"/>
          <w:szCs w:val="22"/>
        </w:rPr>
      </w:pPr>
    </w:p>
    <w:p w14:paraId="0F2EFDB7" w14:textId="77777777" w:rsidR="00450A53" w:rsidRDefault="00450A53" w:rsidP="002C2822">
      <w:pPr>
        <w:rPr>
          <w:b/>
          <w:sz w:val="22"/>
          <w:szCs w:val="22"/>
        </w:rPr>
      </w:pPr>
    </w:p>
    <w:p w14:paraId="500ECE04" w14:textId="77777777" w:rsidR="00450A53" w:rsidRDefault="00450A53" w:rsidP="002C2822">
      <w:pPr>
        <w:rPr>
          <w:b/>
          <w:sz w:val="22"/>
          <w:szCs w:val="22"/>
        </w:rPr>
      </w:pPr>
    </w:p>
    <w:p w14:paraId="6AE7C6B9" w14:textId="77777777" w:rsidR="00450A53" w:rsidRDefault="00450A53" w:rsidP="002C2822">
      <w:pPr>
        <w:rPr>
          <w:b/>
          <w:sz w:val="22"/>
          <w:szCs w:val="22"/>
        </w:rPr>
      </w:pPr>
    </w:p>
    <w:p w14:paraId="4BB436D2" w14:textId="77777777" w:rsidR="00450A53" w:rsidRDefault="00450A53" w:rsidP="002C2822">
      <w:pPr>
        <w:rPr>
          <w:b/>
          <w:sz w:val="22"/>
          <w:szCs w:val="22"/>
        </w:rPr>
      </w:pPr>
    </w:p>
    <w:p w14:paraId="29B7D58C" w14:textId="58BFA89B" w:rsidR="006D4AE8" w:rsidRPr="002C2822" w:rsidRDefault="006D4AE8" w:rsidP="002C2822">
      <w:pPr>
        <w:rPr>
          <w:b/>
          <w:sz w:val="22"/>
          <w:szCs w:val="22"/>
        </w:rPr>
      </w:pPr>
      <w:r w:rsidRPr="002C2822">
        <w:rPr>
          <w:b/>
          <w:sz w:val="22"/>
          <w:szCs w:val="22"/>
        </w:rPr>
        <w:t>Profitability of TV and radio station websites over time</w:t>
      </w:r>
    </w:p>
    <w:p w14:paraId="0C881808" w14:textId="77777777" w:rsidR="006D4AE8" w:rsidRPr="002C2822" w:rsidRDefault="006D4AE8" w:rsidP="002C2822">
      <w:pPr>
        <w:rPr>
          <w:sz w:val="22"/>
          <w:szCs w:val="22"/>
        </w:rPr>
      </w:pPr>
      <w:r w:rsidRPr="002C2822">
        <w:rPr>
          <w:noProof/>
          <w:sz w:val="22"/>
          <w:szCs w:val="22"/>
        </w:rPr>
        <w:drawing>
          <wp:inline distT="0" distB="0" distL="0" distR="0" wp14:anchorId="12B9F2B6" wp14:editId="10FF43D4">
            <wp:extent cx="6324600" cy="32004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C0E98E9" w14:textId="3FD52CDC" w:rsidR="006D4AE8" w:rsidRPr="002C2822" w:rsidRDefault="006D4AE8" w:rsidP="002C2822">
      <w:pPr>
        <w:rPr>
          <w:sz w:val="22"/>
          <w:szCs w:val="22"/>
        </w:rPr>
      </w:pPr>
    </w:p>
    <w:p w14:paraId="370D10B7" w14:textId="2BD9CB86" w:rsidR="006D4AE8" w:rsidRDefault="006D4AE8" w:rsidP="002C2822">
      <w:pPr>
        <w:rPr>
          <w:sz w:val="22"/>
          <w:szCs w:val="22"/>
        </w:rPr>
      </w:pPr>
      <w:r w:rsidRPr="002C2822">
        <w:rPr>
          <w:sz w:val="22"/>
          <w:szCs w:val="22"/>
        </w:rPr>
        <w:t xml:space="preserve">The general upward trajectory in TV is </w:t>
      </w:r>
      <w:proofErr w:type="gramStart"/>
      <w:r w:rsidRPr="002C2822">
        <w:rPr>
          <w:sz w:val="22"/>
          <w:szCs w:val="22"/>
        </w:rPr>
        <w:t>pretty clear</w:t>
      </w:r>
      <w:proofErr w:type="gramEnd"/>
      <w:r w:rsidRPr="002C2822">
        <w:rPr>
          <w:sz w:val="22"/>
          <w:szCs w:val="22"/>
        </w:rPr>
        <w:t>; so is radio's up and down ride.</w:t>
      </w:r>
    </w:p>
    <w:p w14:paraId="2632F04A" w14:textId="77777777" w:rsidR="001161F0" w:rsidRPr="002C2822" w:rsidRDefault="001161F0" w:rsidP="002C2822">
      <w:pPr>
        <w:rPr>
          <w:sz w:val="22"/>
          <w:szCs w:val="22"/>
        </w:rPr>
      </w:pPr>
    </w:p>
    <w:p w14:paraId="494A82CF" w14:textId="77777777" w:rsidR="002C2822" w:rsidRPr="002C2822" w:rsidRDefault="002C2822" w:rsidP="002C2822">
      <w:pPr>
        <w:rPr>
          <w:sz w:val="22"/>
          <w:szCs w:val="22"/>
        </w:rPr>
      </w:pPr>
    </w:p>
    <w:p w14:paraId="735FA0C4" w14:textId="77777777" w:rsidR="006D4AE8" w:rsidRPr="002C2822" w:rsidRDefault="006D4AE8" w:rsidP="002C2822">
      <w:pPr>
        <w:rPr>
          <w:b/>
          <w:sz w:val="22"/>
          <w:szCs w:val="22"/>
        </w:rPr>
      </w:pPr>
      <w:r w:rsidRPr="002C2822">
        <w:rPr>
          <w:b/>
          <w:sz w:val="22"/>
          <w:szCs w:val="22"/>
        </w:rPr>
        <w:t>Paywalls</w:t>
      </w:r>
    </w:p>
    <w:p w14:paraId="36A77990" w14:textId="77777777" w:rsidR="006D4AE8" w:rsidRPr="002C2822" w:rsidRDefault="006D4AE8" w:rsidP="002C2822">
      <w:pPr>
        <w:rPr>
          <w:sz w:val="22"/>
          <w:szCs w:val="22"/>
        </w:rPr>
      </w:pPr>
    </w:p>
    <w:p w14:paraId="2FB90881" w14:textId="4625F233" w:rsidR="00952F15" w:rsidRDefault="006D4AE8" w:rsidP="002C2822">
      <w:pPr>
        <w:rPr>
          <w:sz w:val="22"/>
          <w:szCs w:val="22"/>
        </w:rPr>
      </w:pPr>
      <w:r w:rsidRPr="002C2822">
        <w:rPr>
          <w:sz w:val="22"/>
          <w:szCs w:val="22"/>
        </w:rPr>
        <w:t xml:space="preserve">The number of TV stations reporting paywalls (a monetary charge to access a station website) fell from last year’s </w:t>
      </w:r>
      <w:r w:rsidR="00952F15">
        <w:rPr>
          <w:sz w:val="22"/>
          <w:szCs w:val="22"/>
        </w:rPr>
        <w:t>2</w:t>
      </w:r>
      <w:r w:rsidRPr="002C2822">
        <w:rPr>
          <w:sz w:val="22"/>
          <w:szCs w:val="22"/>
        </w:rPr>
        <w:t xml:space="preserve"> to this year’s </w:t>
      </w:r>
      <w:r w:rsidR="00952F15">
        <w:rPr>
          <w:sz w:val="22"/>
          <w:szCs w:val="22"/>
        </w:rPr>
        <w:t>0</w:t>
      </w:r>
      <w:r w:rsidRPr="002C2822">
        <w:rPr>
          <w:sz w:val="22"/>
          <w:szCs w:val="22"/>
        </w:rPr>
        <w:t xml:space="preserve">.  </w:t>
      </w:r>
      <w:r w:rsidR="00A0638D">
        <w:rPr>
          <w:sz w:val="22"/>
          <w:szCs w:val="22"/>
        </w:rPr>
        <w:t xml:space="preserve">That’s not percentage; it’s actual number of stations.  </w:t>
      </w:r>
      <w:r w:rsidR="00952F15">
        <w:rPr>
          <w:sz w:val="22"/>
          <w:szCs w:val="22"/>
        </w:rPr>
        <w:t>Not a single local TV station in this year’s survey reported having a paywall.  However, 3.5% of the stations reported that they’re considering a paywall in the future.  That’s about the same as a year ago … which obviously didn’t materialize.</w:t>
      </w:r>
      <w:r w:rsidR="0086695D">
        <w:rPr>
          <w:sz w:val="22"/>
          <w:szCs w:val="22"/>
        </w:rPr>
        <w:t xml:space="preserve">  None of the stations considering a paywall is in </w:t>
      </w:r>
      <w:r w:rsidR="00BE0523">
        <w:rPr>
          <w:sz w:val="22"/>
          <w:szCs w:val="22"/>
        </w:rPr>
        <w:t>a</w:t>
      </w:r>
      <w:r w:rsidR="0086695D">
        <w:rPr>
          <w:sz w:val="22"/>
          <w:szCs w:val="22"/>
        </w:rPr>
        <w:t xml:space="preserve"> top 50 markets.</w:t>
      </w:r>
    </w:p>
    <w:p w14:paraId="47436FEB" w14:textId="77777777" w:rsidR="00952F15" w:rsidRDefault="00952F15" w:rsidP="002C2822">
      <w:pPr>
        <w:rPr>
          <w:sz w:val="22"/>
          <w:szCs w:val="22"/>
        </w:rPr>
      </w:pPr>
    </w:p>
    <w:p w14:paraId="4AB792E0" w14:textId="77777777" w:rsidR="00960329" w:rsidRPr="002C2822" w:rsidRDefault="00960329" w:rsidP="002C2822">
      <w:pPr>
        <w:rPr>
          <w:sz w:val="22"/>
          <w:szCs w:val="22"/>
        </w:rPr>
      </w:pPr>
    </w:p>
    <w:p w14:paraId="1D936DCA" w14:textId="77777777" w:rsidR="002C2822" w:rsidRPr="002C2822" w:rsidRDefault="002C2822" w:rsidP="002C2822">
      <w:pPr>
        <w:rPr>
          <w:sz w:val="22"/>
          <w:szCs w:val="22"/>
        </w:rPr>
      </w:pPr>
    </w:p>
    <w:p w14:paraId="5B6C0EBB" w14:textId="77777777" w:rsidR="00AF0FEE" w:rsidRPr="002C2822" w:rsidRDefault="00AF0FEE" w:rsidP="002C2822">
      <w:pPr>
        <w:rPr>
          <w:b/>
          <w:bCs/>
          <w:sz w:val="22"/>
          <w:szCs w:val="22"/>
        </w:rPr>
      </w:pPr>
      <w:r w:rsidRPr="002C2822">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B7DF2D9" w14:textId="77777777" w:rsidR="00AF0FEE" w:rsidRPr="002C2822" w:rsidRDefault="00AF0FEE" w:rsidP="002C2822">
      <w:pPr>
        <w:rPr>
          <w:sz w:val="22"/>
          <w:szCs w:val="22"/>
        </w:rPr>
      </w:pPr>
    </w:p>
    <w:p w14:paraId="09DA63A6" w14:textId="77777777" w:rsidR="00AF0FEE" w:rsidRPr="002C2822" w:rsidRDefault="00AF0FEE" w:rsidP="002C2822">
      <w:pPr>
        <w:rPr>
          <w:sz w:val="22"/>
          <w:szCs w:val="22"/>
        </w:rPr>
      </w:pPr>
    </w:p>
    <w:p w14:paraId="1A2D919A" w14:textId="77777777" w:rsidR="00AF0FEE" w:rsidRPr="002C2822" w:rsidRDefault="00AF0FEE" w:rsidP="002C2822">
      <w:pPr>
        <w:outlineLvl w:val="0"/>
        <w:rPr>
          <w:sz w:val="22"/>
          <w:szCs w:val="22"/>
        </w:rPr>
      </w:pPr>
      <w:r w:rsidRPr="002C2822">
        <w:rPr>
          <w:b/>
          <w:bCs/>
          <w:sz w:val="22"/>
          <w:szCs w:val="22"/>
        </w:rPr>
        <w:t>About the Survey</w:t>
      </w:r>
    </w:p>
    <w:p w14:paraId="6137808F" w14:textId="77777777" w:rsidR="00AF0FEE" w:rsidRPr="002C2822" w:rsidRDefault="00AF0FEE" w:rsidP="002C2822">
      <w:pPr>
        <w:rPr>
          <w:sz w:val="22"/>
          <w:szCs w:val="22"/>
        </w:rPr>
      </w:pPr>
    </w:p>
    <w:p w14:paraId="5F2482DC" w14:textId="447950E9" w:rsidR="005460C2" w:rsidRPr="002C2822" w:rsidRDefault="00450A53" w:rsidP="002C2822">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r w:rsidR="00A0638D">
        <w:rPr>
          <w:sz w:val="22"/>
          <w:szCs w:val="22"/>
        </w:rPr>
        <w:t>.</w:t>
      </w:r>
      <w:bookmarkStart w:id="0" w:name="_GoBack"/>
      <w:bookmarkEnd w:id="0"/>
    </w:p>
    <w:sectPr w:rsidR="005460C2" w:rsidRPr="002C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E8"/>
    <w:rsid w:val="000D426B"/>
    <w:rsid w:val="001161F0"/>
    <w:rsid w:val="00136071"/>
    <w:rsid w:val="002C2822"/>
    <w:rsid w:val="00450A53"/>
    <w:rsid w:val="00501526"/>
    <w:rsid w:val="005460C2"/>
    <w:rsid w:val="006C6486"/>
    <w:rsid w:val="006D4AE8"/>
    <w:rsid w:val="0086695D"/>
    <w:rsid w:val="00952F15"/>
    <w:rsid w:val="00960329"/>
    <w:rsid w:val="00A0638D"/>
    <w:rsid w:val="00AD2258"/>
    <w:rsid w:val="00AF0FEE"/>
    <w:rsid w:val="00B01FFA"/>
    <w:rsid w:val="00BE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8E2A"/>
  <w15:chartTrackingRefBased/>
  <w15:docId w15:val="{D2F4B9E1-0A8F-4A3F-BA27-D679E960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AE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AE8"/>
    <w:rPr>
      <w:sz w:val="22"/>
    </w:rPr>
  </w:style>
  <w:style w:type="character" w:customStyle="1" w:styleId="BodyTextChar">
    <w:name w:val="Body Text Char"/>
    <w:basedOn w:val="DefaultParagraphFont"/>
    <w:link w:val="BodyText"/>
    <w:rsid w:val="006D4AE8"/>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Sheet1!$B$1:$V$1</c:f>
              <c:strCach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strCache>
            </c:strRef>
          </c:cat>
          <c:val>
            <c:numRef>
              <c:f>Sheet1!$B$2:$V$2</c:f>
              <c:numCache>
                <c:formatCode>General</c:formatCode>
                <c:ptCount val="21"/>
                <c:pt idx="0">
                  <c:v>6</c:v>
                </c:pt>
                <c:pt idx="1">
                  <c:v>11</c:v>
                </c:pt>
                <c:pt idx="2">
                  <c:v>7</c:v>
                </c:pt>
                <c:pt idx="3">
                  <c:v>9.6999999999999993</c:v>
                </c:pt>
                <c:pt idx="4">
                  <c:v>12.8</c:v>
                </c:pt>
                <c:pt idx="5">
                  <c:v>14.1</c:v>
                </c:pt>
                <c:pt idx="6">
                  <c:v>15.1</c:v>
                </c:pt>
                <c:pt idx="7">
                  <c:v>24</c:v>
                </c:pt>
                <c:pt idx="8">
                  <c:v>22.8</c:v>
                </c:pt>
                <c:pt idx="9">
                  <c:v>31.2</c:v>
                </c:pt>
                <c:pt idx="10">
                  <c:v>30.7</c:v>
                </c:pt>
                <c:pt idx="11">
                  <c:v>35</c:v>
                </c:pt>
                <c:pt idx="12">
                  <c:v>31.6</c:v>
                </c:pt>
                <c:pt idx="13">
                  <c:v>39.700000000000003</c:v>
                </c:pt>
                <c:pt idx="14">
                  <c:v>39.1</c:v>
                </c:pt>
                <c:pt idx="15">
                  <c:v>37</c:v>
                </c:pt>
                <c:pt idx="16">
                  <c:v>38.299999999999997</c:v>
                </c:pt>
                <c:pt idx="17">
                  <c:v>44.1</c:v>
                </c:pt>
                <c:pt idx="18">
                  <c:v>46.4</c:v>
                </c:pt>
                <c:pt idx="19">
                  <c:v>40.700000000000003</c:v>
                </c:pt>
                <c:pt idx="20">
                  <c:v>42.5</c:v>
                </c:pt>
              </c:numCache>
            </c:numRef>
          </c:val>
          <c:smooth val="0"/>
          <c:extLst>
            <c:ext xmlns:c16="http://schemas.microsoft.com/office/drawing/2014/chart" uri="{C3380CC4-5D6E-409C-BE32-E72D297353CC}">
              <c16:uniqueId val="{00000000-C5B1-4D30-B54D-BDF335951F39}"/>
            </c:ext>
          </c:extLst>
        </c:ser>
        <c:ser>
          <c:idx val="1"/>
          <c:order val="1"/>
          <c:tx>
            <c:strRef>
              <c:f>Sheet1!$A$3</c:f>
              <c:strCache>
                <c:ptCount val="1"/>
                <c:pt idx="0">
                  <c:v>Radio</c:v>
                </c:pt>
              </c:strCache>
            </c:strRef>
          </c:tx>
          <c:marker>
            <c:symbol val="none"/>
          </c:marker>
          <c:cat>
            <c:strRef>
              <c:f>Sheet1!$B$1:$V$1</c:f>
              <c:strCach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strCache>
            </c:strRef>
          </c:cat>
          <c:val>
            <c:numRef>
              <c:f>Sheet1!$B$3:$V$3</c:f>
              <c:numCache>
                <c:formatCode>General</c:formatCode>
                <c:ptCount val="21"/>
                <c:pt idx="0">
                  <c:v>2</c:v>
                </c:pt>
                <c:pt idx="1">
                  <c:v>4</c:v>
                </c:pt>
                <c:pt idx="2">
                  <c:v>7.8</c:v>
                </c:pt>
                <c:pt idx="3">
                  <c:v>4.7</c:v>
                </c:pt>
                <c:pt idx="4">
                  <c:v>3.8</c:v>
                </c:pt>
                <c:pt idx="5">
                  <c:v>4.7</c:v>
                </c:pt>
                <c:pt idx="6">
                  <c:v>4.2</c:v>
                </c:pt>
                <c:pt idx="7">
                  <c:v>10.7</c:v>
                </c:pt>
                <c:pt idx="8">
                  <c:v>6.5</c:v>
                </c:pt>
                <c:pt idx="9">
                  <c:v>6.5</c:v>
                </c:pt>
                <c:pt idx="10">
                  <c:v>14.7</c:v>
                </c:pt>
                <c:pt idx="11">
                  <c:v>9.6999999999999993</c:v>
                </c:pt>
                <c:pt idx="12">
                  <c:v>16.100000000000001</c:v>
                </c:pt>
                <c:pt idx="13">
                  <c:v>12.8</c:v>
                </c:pt>
                <c:pt idx="14">
                  <c:v>10.9</c:v>
                </c:pt>
                <c:pt idx="15">
                  <c:v>15.4</c:v>
                </c:pt>
                <c:pt idx="16">
                  <c:v>8.1</c:v>
                </c:pt>
                <c:pt idx="17">
                  <c:v>15.3</c:v>
                </c:pt>
                <c:pt idx="18">
                  <c:v>13.6</c:v>
                </c:pt>
                <c:pt idx="19">
                  <c:v>13.8</c:v>
                </c:pt>
                <c:pt idx="20">
                  <c:v>12.7</c:v>
                </c:pt>
              </c:numCache>
            </c:numRef>
          </c:val>
          <c:smooth val="0"/>
          <c:extLst>
            <c:ext xmlns:c16="http://schemas.microsoft.com/office/drawing/2014/chart" uri="{C3380CC4-5D6E-409C-BE32-E72D297353CC}">
              <c16:uniqueId val="{00000001-C5B1-4D30-B54D-BDF335951F39}"/>
            </c:ext>
          </c:extLst>
        </c:ser>
        <c:dLbls>
          <c:showLegendKey val="0"/>
          <c:showVal val="0"/>
          <c:showCatName val="0"/>
          <c:showSerName val="0"/>
          <c:showPercent val="0"/>
          <c:showBubbleSize val="0"/>
        </c:dLbls>
        <c:smooth val="0"/>
        <c:axId val="228353584"/>
        <c:axId val="206162360"/>
      </c:lineChart>
      <c:catAx>
        <c:axId val="228353584"/>
        <c:scaling>
          <c:orientation val="minMax"/>
        </c:scaling>
        <c:delete val="0"/>
        <c:axPos val="b"/>
        <c:numFmt formatCode="General" sourceLinked="0"/>
        <c:majorTickMark val="none"/>
        <c:minorTickMark val="none"/>
        <c:tickLblPos val="nextTo"/>
        <c:crossAx val="206162360"/>
        <c:crosses val="autoZero"/>
        <c:auto val="1"/>
        <c:lblAlgn val="ctr"/>
        <c:lblOffset val="100"/>
        <c:noMultiLvlLbl val="0"/>
      </c:catAx>
      <c:valAx>
        <c:axId val="206162360"/>
        <c:scaling>
          <c:orientation val="minMax"/>
        </c:scaling>
        <c:delete val="0"/>
        <c:axPos val="l"/>
        <c:numFmt formatCode="General" sourceLinked="1"/>
        <c:majorTickMark val="none"/>
        <c:minorTickMark val="none"/>
        <c:tickLblPos val="nextTo"/>
        <c:crossAx val="228353584"/>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C9F8-F1CA-4D2E-B878-C08887BD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2019-03-04T18:30:00Z</dcterms:created>
  <dcterms:modified xsi:type="dcterms:W3CDTF">2019-03-04T18:30:00Z</dcterms:modified>
</cp:coreProperties>
</file>