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A1A4" w14:textId="77777777" w:rsidR="004B577A" w:rsidRDefault="004B577A" w:rsidP="004B577A">
      <w:pPr>
        <w:spacing w:line="360" w:lineRule="auto"/>
      </w:pPr>
      <w:r>
        <w:rPr>
          <w:noProof/>
        </w:rPr>
        <mc:AlternateContent>
          <mc:Choice Requires="wps">
            <w:drawing>
              <wp:anchor distT="0" distB="0" distL="114300" distR="114300" simplePos="0" relativeHeight="251659264" behindDoc="0" locked="0" layoutInCell="1" allowOverlap="1" wp14:anchorId="1AD45515" wp14:editId="5ED0D120">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1A3039CC" w14:textId="77777777" w:rsidR="004B577A" w:rsidRPr="00535CB1" w:rsidRDefault="004B577A" w:rsidP="004B577A">
                            <w:pPr>
                              <w:rPr>
                                <w:sz w:val="22"/>
                                <w:szCs w:val="22"/>
                              </w:rPr>
                            </w:pPr>
                            <w:r w:rsidRPr="00535CB1">
                              <w:rPr>
                                <w:sz w:val="22"/>
                                <w:szCs w:val="22"/>
                              </w:rPr>
                              <w:t>An introductory note, if you will.  2019 marks my 25th year conducting the</w:t>
                            </w:r>
                          </w:p>
                          <w:p w14:paraId="4726188E" w14:textId="77777777" w:rsidR="004B577A" w:rsidRPr="00535CB1" w:rsidRDefault="004B577A" w:rsidP="004B577A">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B88EA70" w14:textId="77777777" w:rsidR="004B577A" w:rsidRPr="00535CB1" w:rsidRDefault="004B577A" w:rsidP="004B577A">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D45515"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1A3039CC" w14:textId="77777777" w:rsidR="004B577A" w:rsidRPr="00535CB1" w:rsidRDefault="004B577A" w:rsidP="004B577A">
                      <w:pPr>
                        <w:rPr>
                          <w:sz w:val="22"/>
                          <w:szCs w:val="22"/>
                        </w:rPr>
                      </w:pPr>
                      <w:r w:rsidRPr="00535CB1">
                        <w:rPr>
                          <w:sz w:val="22"/>
                          <w:szCs w:val="22"/>
                        </w:rPr>
                        <w:t>An introductory note, if you will.  2019 marks my 25th year conducting the</w:t>
                      </w:r>
                    </w:p>
                    <w:p w14:paraId="4726188E" w14:textId="77777777" w:rsidR="004B577A" w:rsidRPr="00535CB1" w:rsidRDefault="004B577A" w:rsidP="004B577A">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B88EA70" w14:textId="77777777" w:rsidR="004B577A" w:rsidRPr="00535CB1" w:rsidRDefault="004B577A" w:rsidP="004B577A">
                      <w:pPr>
                        <w:rPr>
                          <w:sz w:val="22"/>
                          <w:szCs w:val="22"/>
                        </w:rPr>
                      </w:pPr>
                      <w:r w:rsidRPr="00535CB1">
                        <w:rPr>
                          <w:sz w:val="22"/>
                          <w:szCs w:val="22"/>
                        </w:rPr>
                        <w:t>- Bob Papper</w:t>
                      </w:r>
                    </w:p>
                  </w:txbxContent>
                </v:textbox>
              </v:shape>
            </w:pict>
          </mc:Fallback>
        </mc:AlternateContent>
      </w:r>
    </w:p>
    <w:p w14:paraId="0738C0C3" w14:textId="77777777" w:rsidR="004B577A" w:rsidRDefault="004B577A" w:rsidP="004B577A">
      <w:pPr>
        <w:spacing w:line="360" w:lineRule="auto"/>
      </w:pPr>
    </w:p>
    <w:p w14:paraId="2747A473" w14:textId="77777777" w:rsidR="004B577A" w:rsidRDefault="004B577A" w:rsidP="004B577A">
      <w:pPr>
        <w:spacing w:line="360" w:lineRule="auto"/>
      </w:pPr>
    </w:p>
    <w:p w14:paraId="027C9EAE" w14:textId="77777777" w:rsidR="004B577A" w:rsidRDefault="004B577A" w:rsidP="004B577A">
      <w:pPr>
        <w:spacing w:line="360" w:lineRule="auto"/>
      </w:pPr>
    </w:p>
    <w:p w14:paraId="01E036F5" w14:textId="77777777" w:rsidR="004B577A" w:rsidRDefault="004B577A" w:rsidP="004B577A">
      <w:pPr>
        <w:spacing w:line="360" w:lineRule="auto"/>
      </w:pPr>
    </w:p>
    <w:p w14:paraId="11A8FBE6" w14:textId="77777777" w:rsidR="004B577A" w:rsidRDefault="004B577A" w:rsidP="004B577A">
      <w:pPr>
        <w:spacing w:line="360" w:lineRule="auto"/>
      </w:pPr>
    </w:p>
    <w:p w14:paraId="46EA6034" w14:textId="77777777" w:rsidR="004B577A" w:rsidRDefault="004B577A" w:rsidP="00EE00A4">
      <w:pPr>
        <w:pStyle w:val="BodyText"/>
        <w:tabs>
          <w:tab w:val="left" w:pos="9360"/>
        </w:tabs>
        <w:rPr>
          <w:rFonts w:asciiTheme="minorHAnsi" w:hAnsiTheme="minorHAnsi" w:cstheme="minorHAnsi"/>
          <w:b/>
          <w:szCs w:val="22"/>
        </w:rPr>
      </w:pPr>
    </w:p>
    <w:p w14:paraId="570B80F1" w14:textId="0ACD5906" w:rsidR="004B577A" w:rsidRDefault="004B577A" w:rsidP="00EE00A4">
      <w:pPr>
        <w:pStyle w:val="BodyText"/>
        <w:tabs>
          <w:tab w:val="left" w:pos="9360"/>
        </w:tabs>
        <w:rPr>
          <w:rFonts w:asciiTheme="minorHAnsi" w:hAnsiTheme="minorHAnsi" w:cstheme="minorHAnsi"/>
          <w:b/>
          <w:szCs w:val="22"/>
        </w:rPr>
      </w:pPr>
    </w:p>
    <w:p w14:paraId="02DCF1CE" w14:textId="77777777" w:rsidR="00574AD9" w:rsidRDefault="00574AD9" w:rsidP="00EE00A4">
      <w:pPr>
        <w:pStyle w:val="BodyText"/>
        <w:tabs>
          <w:tab w:val="left" w:pos="9360"/>
        </w:tabs>
        <w:rPr>
          <w:rFonts w:asciiTheme="minorHAnsi" w:hAnsiTheme="minorHAnsi" w:cstheme="minorHAnsi"/>
          <w:b/>
          <w:szCs w:val="22"/>
        </w:rPr>
      </w:pPr>
    </w:p>
    <w:p w14:paraId="486B21A3" w14:textId="2879785E" w:rsidR="00CB4177" w:rsidRPr="00EE00A4" w:rsidRDefault="00CB4177" w:rsidP="00EE00A4">
      <w:pPr>
        <w:pStyle w:val="BodyText"/>
        <w:tabs>
          <w:tab w:val="left" w:pos="9360"/>
        </w:tabs>
        <w:rPr>
          <w:rFonts w:asciiTheme="minorHAnsi" w:hAnsiTheme="minorHAnsi" w:cstheme="minorHAnsi"/>
          <w:b/>
          <w:szCs w:val="22"/>
        </w:rPr>
      </w:pPr>
      <w:r w:rsidRPr="00EE00A4">
        <w:rPr>
          <w:rFonts w:asciiTheme="minorHAnsi" w:hAnsiTheme="minorHAnsi" w:cstheme="minorHAnsi"/>
          <w:b/>
          <w:szCs w:val="22"/>
        </w:rPr>
        <w:t xml:space="preserve">Radio </w:t>
      </w:r>
      <w:r w:rsidR="00EE00A4" w:rsidRPr="00EE00A4">
        <w:rPr>
          <w:rFonts w:asciiTheme="minorHAnsi" w:hAnsiTheme="minorHAnsi" w:cstheme="minorHAnsi"/>
          <w:b/>
          <w:szCs w:val="22"/>
        </w:rPr>
        <w:t>W</w:t>
      </w:r>
      <w:r w:rsidRPr="00EE00A4">
        <w:rPr>
          <w:rFonts w:asciiTheme="minorHAnsi" w:hAnsiTheme="minorHAnsi" w:cstheme="minorHAnsi"/>
          <w:b/>
          <w:szCs w:val="22"/>
        </w:rPr>
        <w:t xml:space="preserve">ebsite </w:t>
      </w:r>
      <w:r w:rsidR="00EE00A4" w:rsidRPr="00EE00A4">
        <w:rPr>
          <w:rFonts w:asciiTheme="minorHAnsi" w:hAnsiTheme="minorHAnsi" w:cstheme="minorHAnsi"/>
          <w:b/>
          <w:szCs w:val="22"/>
        </w:rPr>
        <w:t>P</w:t>
      </w:r>
      <w:r w:rsidRPr="00EE00A4">
        <w:rPr>
          <w:rFonts w:asciiTheme="minorHAnsi" w:hAnsiTheme="minorHAnsi" w:cstheme="minorHAnsi"/>
          <w:b/>
          <w:szCs w:val="22"/>
        </w:rPr>
        <w:t>rofitability</w:t>
      </w:r>
      <w:r w:rsidR="00EE00A4" w:rsidRPr="00EE00A4">
        <w:rPr>
          <w:rFonts w:asciiTheme="minorHAnsi" w:hAnsiTheme="minorHAnsi" w:cstheme="minorHAnsi"/>
          <w:b/>
          <w:szCs w:val="22"/>
        </w:rPr>
        <w:t xml:space="preserve"> Little Changed</w:t>
      </w:r>
    </w:p>
    <w:p w14:paraId="50F6464D" w14:textId="77777777" w:rsidR="00EE00A4" w:rsidRPr="00EE00A4" w:rsidRDefault="00EE00A4" w:rsidP="00EE00A4">
      <w:pPr>
        <w:pStyle w:val="BodyText"/>
        <w:tabs>
          <w:tab w:val="left" w:pos="9360"/>
        </w:tabs>
        <w:rPr>
          <w:rFonts w:asciiTheme="minorHAnsi" w:hAnsiTheme="minorHAnsi" w:cstheme="minorHAnsi"/>
          <w:szCs w:val="22"/>
        </w:rPr>
      </w:pPr>
      <w:r w:rsidRPr="00EE00A4">
        <w:rPr>
          <w:rFonts w:asciiTheme="minorHAnsi" w:hAnsiTheme="minorHAnsi" w:cstheme="minorHAnsi"/>
          <w:b/>
          <w:szCs w:val="22"/>
        </w:rPr>
        <w:t>by Bob Papper</w:t>
      </w:r>
    </w:p>
    <w:p w14:paraId="12F3DAE2" w14:textId="77777777" w:rsidR="00CB4177" w:rsidRDefault="00CB4177" w:rsidP="00EE00A4">
      <w:pPr>
        <w:pStyle w:val="BodyText"/>
        <w:tabs>
          <w:tab w:val="left" w:pos="9360"/>
        </w:tabs>
        <w:rPr>
          <w:rFonts w:asciiTheme="minorHAnsi" w:hAnsiTheme="minorHAnsi" w:cstheme="minorHAnsi"/>
          <w:szCs w:val="22"/>
        </w:rPr>
      </w:pPr>
    </w:p>
    <w:p w14:paraId="3020BA96" w14:textId="77777777" w:rsidR="00EE00A4" w:rsidRPr="00EE00A4" w:rsidRDefault="00EE00A4" w:rsidP="00EE00A4">
      <w:pPr>
        <w:pStyle w:val="BodyText"/>
        <w:tabs>
          <w:tab w:val="left" w:pos="9360"/>
        </w:tabs>
        <w:rPr>
          <w:rFonts w:asciiTheme="minorHAnsi" w:hAnsiTheme="minorHAnsi" w:cstheme="minorHAnsi"/>
          <w:szCs w:val="22"/>
        </w:rPr>
      </w:pPr>
    </w:p>
    <w:p w14:paraId="5976B1B3" w14:textId="77777777" w:rsidR="00117A6C" w:rsidRDefault="00FE21F8" w:rsidP="00EE00A4">
      <w:pPr>
        <w:pStyle w:val="BodyText"/>
        <w:tabs>
          <w:tab w:val="left" w:pos="9360"/>
        </w:tabs>
        <w:rPr>
          <w:rFonts w:asciiTheme="minorHAnsi" w:hAnsiTheme="minorHAnsi" w:cstheme="minorHAnsi"/>
          <w:szCs w:val="22"/>
        </w:rPr>
      </w:pPr>
      <w:r>
        <w:rPr>
          <w:rFonts w:asciiTheme="minorHAnsi" w:hAnsiTheme="minorHAnsi" w:cstheme="minorHAnsi"/>
          <w:szCs w:val="22"/>
        </w:rPr>
        <w:t xml:space="preserve">The best news that the latest RTDNA/Hofstra University Survey found on website profitability </w:t>
      </w:r>
      <w:r w:rsidR="00117A6C">
        <w:rPr>
          <w:rFonts w:asciiTheme="minorHAnsi" w:hAnsiTheme="minorHAnsi" w:cstheme="minorHAnsi"/>
          <w:szCs w:val="22"/>
        </w:rPr>
        <w:t xml:space="preserve">in radio </w:t>
      </w:r>
      <w:r>
        <w:rPr>
          <w:rFonts w:asciiTheme="minorHAnsi" w:hAnsiTheme="minorHAnsi" w:cstheme="minorHAnsi"/>
          <w:szCs w:val="22"/>
        </w:rPr>
        <w:t>is a 5</w:t>
      </w:r>
      <w:r w:rsidR="00117A6C">
        <w:rPr>
          <w:rFonts w:asciiTheme="minorHAnsi" w:hAnsiTheme="minorHAnsi" w:cstheme="minorHAnsi"/>
          <w:szCs w:val="22"/>
        </w:rPr>
        <w:t>-</w:t>
      </w:r>
      <w:r>
        <w:rPr>
          <w:rFonts w:asciiTheme="minorHAnsi" w:hAnsiTheme="minorHAnsi" w:cstheme="minorHAnsi"/>
          <w:szCs w:val="22"/>
        </w:rPr>
        <w:t xml:space="preserve">point drop in the percentage of stations reporting a loss.  Unfortunately, none of that drop shifted into the profit column; it went into the don’t know category.  The percentage reporting website profitability held largely steady: down 1 point.  There were no gains in profitability by market size; the largest and smallest markets had the biggest drops in the loss category.   </w:t>
      </w:r>
    </w:p>
    <w:p w14:paraId="4E029D05" w14:textId="77777777" w:rsidR="00117A6C" w:rsidRDefault="00117A6C" w:rsidP="00EE00A4">
      <w:pPr>
        <w:pStyle w:val="BodyText"/>
        <w:tabs>
          <w:tab w:val="left" w:pos="9360"/>
        </w:tabs>
        <w:rPr>
          <w:rFonts w:asciiTheme="minorHAnsi" w:hAnsiTheme="minorHAnsi" w:cstheme="minorHAnsi"/>
          <w:szCs w:val="22"/>
        </w:rPr>
      </w:pPr>
    </w:p>
    <w:p w14:paraId="76D3153B" w14:textId="77777777" w:rsidR="00EE00A4" w:rsidRPr="00EE00A4" w:rsidRDefault="00EE00A4" w:rsidP="00EE00A4">
      <w:pPr>
        <w:pStyle w:val="BodyText"/>
        <w:tabs>
          <w:tab w:val="left" w:pos="9360"/>
        </w:tabs>
        <w:rPr>
          <w:rFonts w:asciiTheme="minorHAnsi" w:hAnsiTheme="minorHAnsi" w:cstheme="minorHAnsi"/>
          <w:szCs w:val="22"/>
        </w:rPr>
      </w:pPr>
    </w:p>
    <w:p w14:paraId="1AE27232" w14:textId="77777777" w:rsidR="00CB4177" w:rsidRPr="00EE00A4" w:rsidRDefault="00CB4177" w:rsidP="00EE00A4">
      <w:pPr>
        <w:outlineLvl w:val="0"/>
        <w:rPr>
          <w:rFonts w:asciiTheme="minorHAnsi" w:hAnsiTheme="minorHAnsi" w:cstheme="minorHAnsi"/>
          <w:b/>
          <w:sz w:val="22"/>
          <w:szCs w:val="22"/>
        </w:rPr>
      </w:pPr>
      <w:r w:rsidRPr="00EE00A4">
        <w:rPr>
          <w:rFonts w:asciiTheme="minorHAnsi" w:hAnsiTheme="minorHAnsi" w:cstheme="minorHAnsi"/>
          <w:b/>
          <w:sz w:val="22"/>
          <w:szCs w:val="22"/>
        </w:rPr>
        <w:t>Is the radio website making money? 201</w:t>
      </w:r>
      <w:r w:rsidR="00FE21F8">
        <w:rPr>
          <w:rFonts w:asciiTheme="minorHAnsi" w:hAnsiTheme="minorHAnsi" w:cstheme="minorHAnsi"/>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990"/>
        <w:gridCol w:w="1710"/>
        <w:gridCol w:w="1170"/>
        <w:gridCol w:w="1710"/>
      </w:tblGrid>
      <w:tr w:rsidR="00CB4177" w:rsidRPr="00EE00A4" w14:paraId="4E11F5C9" w14:textId="77777777" w:rsidTr="006A5C0A">
        <w:trPr>
          <w:trHeight w:val="350"/>
        </w:trPr>
        <w:tc>
          <w:tcPr>
            <w:tcW w:w="1998" w:type="dxa"/>
          </w:tcPr>
          <w:p w14:paraId="7C43A215" w14:textId="77777777" w:rsidR="00CB4177" w:rsidRPr="00EE00A4" w:rsidRDefault="00CB4177" w:rsidP="00EE00A4">
            <w:pPr>
              <w:rPr>
                <w:rFonts w:asciiTheme="minorHAnsi" w:hAnsiTheme="minorHAnsi" w:cstheme="minorHAnsi"/>
                <w:sz w:val="22"/>
                <w:szCs w:val="22"/>
              </w:rPr>
            </w:pPr>
          </w:p>
        </w:tc>
        <w:tc>
          <w:tcPr>
            <w:tcW w:w="990" w:type="dxa"/>
          </w:tcPr>
          <w:p w14:paraId="49ADE921"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Profit</w:t>
            </w:r>
          </w:p>
        </w:tc>
        <w:tc>
          <w:tcPr>
            <w:tcW w:w="1710" w:type="dxa"/>
          </w:tcPr>
          <w:p w14:paraId="2FD5673D"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Breaking Even</w:t>
            </w:r>
          </w:p>
        </w:tc>
        <w:tc>
          <w:tcPr>
            <w:tcW w:w="1170" w:type="dxa"/>
          </w:tcPr>
          <w:p w14:paraId="28E6573E"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Loss</w:t>
            </w:r>
          </w:p>
        </w:tc>
        <w:tc>
          <w:tcPr>
            <w:tcW w:w="1710" w:type="dxa"/>
          </w:tcPr>
          <w:p w14:paraId="27ADB553" w14:textId="77777777" w:rsidR="00CB4177" w:rsidRPr="00EE00A4" w:rsidRDefault="00CB4177" w:rsidP="00EE00A4">
            <w:pPr>
              <w:jc w:val="center"/>
              <w:rPr>
                <w:rFonts w:asciiTheme="minorHAnsi" w:hAnsiTheme="minorHAnsi" w:cstheme="minorHAnsi"/>
                <w:sz w:val="22"/>
                <w:szCs w:val="22"/>
              </w:rPr>
            </w:pPr>
            <w:r w:rsidRPr="00EE00A4">
              <w:rPr>
                <w:rFonts w:asciiTheme="minorHAnsi" w:hAnsiTheme="minorHAnsi" w:cstheme="minorHAnsi"/>
                <w:sz w:val="22"/>
                <w:szCs w:val="22"/>
              </w:rPr>
              <w:t>Don’t Know</w:t>
            </w:r>
          </w:p>
        </w:tc>
      </w:tr>
      <w:tr w:rsidR="00CB4177" w:rsidRPr="00EE00A4" w14:paraId="028A0F6B" w14:textId="77777777" w:rsidTr="006A5C0A">
        <w:tc>
          <w:tcPr>
            <w:tcW w:w="1998" w:type="dxa"/>
          </w:tcPr>
          <w:p w14:paraId="220F088C"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All Radio</w:t>
            </w:r>
          </w:p>
        </w:tc>
        <w:tc>
          <w:tcPr>
            <w:tcW w:w="990" w:type="dxa"/>
          </w:tcPr>
          <w:p w14:paraId="35C7A53F" w14:textId="0B8634A1"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12.7% </w:t>
            </w:r>
            <w:r w:rsidR="00CB4177" w:rsidRPr="00EE00A4">
              <w:rPr>
                <w:rFonts w:asciiTheme="minorHAnsi" w:hAnsiTheme="minorHAnsi" w:cstheme="minorHAnsi"/>
                <w:sz w:val="22"/>
                <w:szCs w:val="22"/>
              </w:rPr>
              <w:t xml:space="preserve"> </w:t>
            </w:r>
          </w:p>
        </w:tc>
        <w:tc>
          <w:tcPr>
            <w:tcW w:w="1710" w:type="dxa"/>
          </w:tcPr>
          <w:p w14:paraId="471B392E" w14:textId="20FD1CE7"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17.8% </w:t>
            </w:r>
            <w:r w:rsidR="00CB4177" w:rsidRPr="00EE00A4">
              <w:rPr>
                <w:rFonts w:asciiTheme="minorHAnsi" w:hAnsiTheme="minorHAnsi" w:cstheme="minorHAnsi"/>
                <w:sz w:val="22"/>
                <w:szCs w:val="22"/>
              </w:rPr>
              <w:t xml:space="preserve"> </w:t>
            </w:r>
          </w:p>
        </w:tc>
        <w:tc>
          <w:tcPr>
            <w:tcW w:w="1170" w:type="dxa"/>
          </w:tcPr>
          <w:p w14:paraId="7A6D64A3" w14:textId="29C1FCFA"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7.7% </w:t>
            </w:r>
            <w:r w:rsidR="00CB4177" w:rsidRPr="00EE00A4">
              <w:rPr>
                <w:rFonts w:asciiTheme="minorHAnsi" w:hAnsiTheme="minorHAnsi" w:cstheme="minorHAnsi"/>
                <w:sz w:val="22"/>
                <w:szCs w:val="22"/>
              </w:rPr>
              <w:t xml:space="preserve"> </w:t>
            </w:r>
          </w:p>
        </w:tc>
        <w:tc>
          <w:tcPr>
            <w:tcW w:w="1710" w:type="dxa"/>
          </w:tcPr>
          <w:p w14:paraId="51BAB3A1" w14:textId="5D9E2C18"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61.8% </w:t>
            </w:r>
            <w:r w:rsidR="00CB4177" w:rsidRPr="00EE00A4">
              <w:rPr>
                <w:rFonts w:asciiTheme="minorHAnsi" w:hAnsiTheme="minorHAnsi" w:cstheme="minorHAnsi"/>
                <w:sz w:val="22"/>
                <w:szCs w:val="22"/>
              </w:rPr>
              <w:t xml:space="preserve"> </w:t>
            </w:r>
          </w:p>
        </w:tc>
      </w:tr>
      <w:tr w:rsidR="00CB4177" w:rsidRPr="00EE00A4" w14:paraId="0B02C301" w14:textId="77777777" w:rsidTr="006A5C0A">
        <w:tc>
          <w:tcPr>
            <w:tcW w:w="1998" w:type="dxa"/>
          </w:tcPr>
          <w:p w14:paraId="057E2CE1"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Major Market</w:t>
            </w:r>
          </w:p>
        </w:tc>
        <w:tc>
          <w:tcPr>
            <w:tcW w:w="990" w:type="dxa"/>
          </w:tcPr>
          <w:p w14:paraId="548C5F46" w14:textId="5B1A76BD"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14.3 </w:t>
            </w:r>
            <w:r w:rsidR="00CB4177" w:rsidRPr="00EE00A4">
              <w:rPr>
                <w:rFonts w:asciiTheme="minorHAnsi" w:hAnsiTheme="minorHAnsi" w:cstheme="minorHAnsi"/>
                <w:sz w:val="22"/>
                <w:szCs w:val="22"/>
              </w:rPr>
              <w:t xml:space="preserve"> </w:t>
            </w:r>
          </w:p>
        </w:tc>
        <w:tc>
          <w:tcPr>
            <w:tcW w:w="1710" w:type="dxa"/>
          </w:tcPr>
          <w:p w14:paraId="282FDF5B" w14:textId="7CAB07F0"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12.5 </w:t>
            </w:r>
            <w:r w:rsidR="00CB4177" w:rsidRPr="00EE00A4">
              <w:rPr>
                <w:rFonts w:asciiTheme="minorHAnsi" w:hAnsiTheme="minorHAnsi" w:cstheme="minorHAnsi"/>
                <w:sz w:val="22"/>
                <w:szCs w:val="22"/>
              </w:rPr>
              <w:t xml:space="preserve"> </w:t>
            </w:r>
          </w:p>
        </w:tc>
        <w:tc>
          <w:tcPr>
            <w:tcW w:w="1170" w:type="dxa"/>
          </w:tcPr>
          <w:p w14:paraId="4F9875EE" w14:textId="76BC872E"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1.8 </w:t>
            </w:r>
            <w:r w:rsidR="00CB4177" w:rsidRPr="00EE00A4">
              <w:rPr>
                <w:rFonts w:asciiTheme="minorHAnsi" w:hAnsiTheme="minorHAnsi" w:cstheme="minorHAnsi"/>
                <w:sz w:val="22"/>
                <w:szCs w:val="22"/>
              </w:rPr>
              <w:t xml:space="preserve"> </w:t>
            </w:r>
          </w:p>
        </w:tc>
        <w:tc>
          <w:tcPr>
            <w:tcW w:w="1710" w:type="dxa"/>
          </w:tcPr>
          <w:p w14:paraId="26F11D6E" w14:textId="1D79C2BE"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71.4 </w:t>
            </w:r>
            <w:r w:rsidR="00EE00A4" w:rsidRPr="00EE00A4">
              <w:rPr>
                <w:rFonts w:asciiTheme="minorHAnsi" w:hAnsiTheme="minorHAnsi" w:cstheme="minorHAnsi"/>
                <w:sz w:val="22"/>
                <w:szCs w:val="22"/>
              </w:rPr>
              <w:t xml:space="preserve"> </w:t>
            </w:r>
          </w:p>
        </w:tc>
      </w:tr>
      <w:tr w:rsidR="00CB4177" w:rsidRPr="00EE00A4" w14:paraId="518FE0F6" w14:textId="77777777" w:rsidTr="006A5C0A">
        <w:tc>
          <w:tcPr>
            <w:tcW w:w="1998" w:type="dxa"/>
          </w:tcPr>
          <w:p w14:paraId="03FFC021"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Large Market</w:t>
            </w:r>
          </w:p>
        </w:tc>
        <w:tc>
          <w:tcPr>
            <w:tcW w:w="990" w:type="dxa"/>
          </w:tcPr>
          <w:p w14:paraId="057A5F66" w14:textId="31F4717D"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9.2 </w:t>
            </w:r>
            <w:r w:rsidR="00CB4177" w:rsidRPr="00EE00A4">
              <w:rPr>
                <w:rFonts w:asciiTheme="minorHAnsi" w:hAnsiTheme="minorHAnsi" w:cstheme="minorHAnsi"/>
                <w:sz w:val="22"/>
                <w:szCs w:val="22"/>
              </w:rPr>
              <w:t xml:space="preserve"> </w:t>
            </w:r>
          </w:p>
        </w:tc>
        <w:tc>
          <w:tcPr>
            <w:tcW w:w="1710" w:type="dxa"/>
          </w:tcPr>
          <w:p w14:paraId="42AA8261" w14:textId="59A990CE"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13.8 </w:t>
            </w:r>
            <w:r w:rsidR="00CB4177" w:rsidRPr="00EE00A4">
              <w:rPr>
                <w:rFonts w:asciiTheme="minorHAnsi" w:hAnsiTheme="minorHAnsi" w:cstheme="minorHAnsi"/>
                <w:sz w:val="22"/>
                <w:szCs w:val="22"/>
              </w:rPr>
              <w:t xml:space="preserve"> </w:t>
            </w:r>
          </w:p>
        </w:tc>
        <w:tc>
          <w:tcPr>
            <w:tcW w:w="1170" w:type="dxa"/>
          </w:tcPr>
          <w:p w14:paraId="2258912A" w14:textId="04410062"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9.2 </w:t>
            </w:r>
            <w:r w:rsidR="00CB4177" w:rsidRPr="00EE00A4">
              <w:rPr>
                <w:rFonts w:asciiTheme="minorHAnsi" w:hAnsiTheme="minorHAnsi" w:cstheme="minorHAnsi"/>
                <w:sz w:val="22"/>
                <w:szCs w:val="22"/>
              </w:rPr>
              <w:t xml:space="preserve"> </w:t>
            </w:r>
          </w:p>
        </w:tc>
        <w:tc>
          <w:tcPr>
            <w:tcW w:w="1710" w:type="dxa"/>
          </w:tcPr>
          <w:p w14:paraId="3AC5CE80" w14:textId="334BDD8B"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67.7 </w:t>
            </w:r>
            <w:r w:rsidR="00EE00A4" w:rsidRPr="00EE00A4">
              <w:rPr>
                <w:rFonts w:asciiTheme="minorHAnsi" w:hAnsiTheme="minorHAnsi" w:cstheme="minorHAnsi"/>
                <w:sz w:val="22"/>
                <w:szCs w:val="22"/>
              </w:rPr>
              <w:t xml:space="preserve"> </w:t>
            </w:r>
          </w:p>
        </w:tc>
      </w:tr>
      <w:tr w:rsidR="00CB4177" w:rsidRPr="00EE00A4" w14:paraId="328FB426" w14:textId="77777777" w:rsidTr="006A5C0A">
        <w:tc>
          <w:tcPr>
            <w:tcW w:w="1998" w:type="dxa"/>
          </w:tcPr>
          <w:p w14:paraId="17B61CC1"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Medium Market</w:t>
            </w:r>
          </w:p>
        </w:tc>
        <w:tc>
          <w:tcPr>
            <w:tcW w:w="990" w:type="dxa"/>
          </w:tcPr>
          <w:p w14:paraId="4079D45B" w14:textId="25C7DA42"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16.9 </w:t>
            </w:r>
            <w:r w:rsidR="00CB4177" w:rsidRPr="00EE00A4">
              <w:rPr>
                <w:rFonts w:asciiTheme="minorHAnsi" w:hAnsiTheme="minorHAnsi" w:cstheme="minorHAnsi"/>
                <w:sz w:val="22"/>
                <w:szCs w:val="22"/>
              </w:rPr>
              <w:t xml:space="preserve"> </w:t>
            </w:r>
          </w:p>
        </w:tc>
        <w:tc>
          <w:tcPr>
            <w:tcW w:w="1710" w:type="dxa"/>
          </w:tcPr>
          <w:p w14:paraId="1CD48266" w14:textId="4F79D600"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14.4 </w:t>
            </w:r>
            <w:r w:rsidR="00CB4177" w:rsidRPr="00EE00A4">
              <w:rPr>
                <w:rFonts w:asciiTheme="minorHAnsi" w:hAnsiTheme="minorHAnsi" w:cstheme="minorHAnsi"/>
                <w:sz w:val="22"/>
                <w:szCs w:val="22"/>
              </w:rPr>
              <w:t xml:space="preserve"> </w:t>
            </w:r>
          </w:p>
        </w:tc>
        <w:tc>
          <w:tcPr>
            <w:tcW w:w="1170" w:type="dxa"/>
          </w:tcPr>
          <w:p w14:paraId="1F9B46A4" w14:textId="56FA7C3E"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10.2 </w:t>
            </w:r>
            <w:r w:rsidR="00CB4177" w:rsidRPr="00EE00A4">
              <w:rPr>
                <w:rFonts w:asciiTheme="minorHAnsi" w:hAnsiTheme="minorHAnsi" w:cstheme="minorHAnsi"/>
                <w:sz w:val="22"/>
                <w:szCs w:val="22"/>
              </w:rPr>
              <w:t xml:space="preserve"> </w:t>
            </w:r>
          </w:p>
        </w:tc>
        <w:tc>
          <w:tcPr>
            <w:tcW w:w="1710" w:type="dxa"/>
          </w:tcPr>
          <w:p w14:paraId="22F1D546" w14:textId="1D9340E7"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58.5 </w:t>
            </w:r>
            <w:r w:rsidR="00EE00A4" w:rsidRPr="00EE00A4">
              <w:rPr>
                <w:rFonts w:asciiTheme="minorHAnsi" w:hAnsiTheme="minorHAnsi" w:cstheme="minorHAnsi"/>
                <w:sz w:val="22"/>
                <w:szCs w:val="22"/>
              </w:rPr>
              <w:t xml:space="preserve"> </w:t>
            </w:r>
          </w:p>
        </w:tc>
      </w:tr>
      <w:tr w:rsidR="00CB4177" w:rsidRPr="00EE00A4" w14:paraId="27F7E57E" w14:textId="77777777" w:rsidTr="006A5C0A">
        <w:tc>
          <w:tcPr>
            <w:tcW w:w="1998" w:type="dxa"/>
          </w:tcPr>
          <w:p w14:paraId="4DFEE7DA"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Small Market</w:t>
            </w:r>
          </w:p>
        </w:tc>
        <w:tc>
          <w:tcPr>
            <w:tcW w:w="990" w:type="dxa"/>
          </w:tcPr>
          <w:p w14:paraId="47116C10" w14:textId="0E8AE2C0"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9.1 </w:t>
            </w:r>
            <w:r w:rsidR="00CB4177" w:rsidRPr="00EE00A4">
              <w:rPr>
                <w:rFonts w:asciiTheme="minorHAnsi" w:hAnsiTheme="minorHAnsi" w:cstheme="minorHAnsi"/>
                <w:sz w:val="22"/>
                <w:szCs w:val="22"/>
              </w:rPr>
              <w:t xml:space="preserve"> </w:t>
            </w:r>
          </w:p>
        </w:tc>
        <w:tc>
          <w:tcPr>
            <w:tcW w:w="1710" w:type="dxa"/>
          </w:tcPr>
          <w:p w14:paraId="026B81CD" w14:textId="320D94BC"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27.3 </w:t>
            </w:r>
            <w:r w:rsidR="00CB4177" w:rsidRPr="00EE00A4">
              <w:rPr>
                <w:rFonts w:asciiTheme="minorHAnsi" w:hAnsiTheme="minorHAnsi" w:cstheme="minorHAnsi"/>
                <w:sz w:val="22"/>
                <w:szCs w:val="22"/>
              </w:rPr>
              <w:t xml:space="preserve"> </w:t>
            </w:r>
          </w:p>
        </w:tc>
        <w:tc>
          <w:tcPr>
            <w:tcW w:w="1170" w:type="dxa"/>
          </w:tcPr>
          <w:p w14:paraId="715F3CBB" w14:textId="76DD9B27"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 xml:space="preserve">7.1 </w:t>
            </w:r>
            <w:r w:rsidR="00CB4177" w:rsidRPr="00EE00A4">
              <w:rPr>
                <w:rFonts w:asciiTheme="minorHAnsi" w:hAnsiTheme="minorHAnsi" w:cstheme="minorHAnsi"/>
                <w:sz w:val="22"/>
                <w:szCs w:val="22"/>
              </w:rPr>
              <w:t xml:space="preserve"> </w:t>
            </w:r>
          </w:p>
        </w:tc>
        <w:tc>
          <w:tcPr>
            <w:tcW w:w="1710" w:type="dxa"/>
          </w:tcPr>
          <w:p w14:paraId="6DA9D907" w14:textId="51B3565C" w:rsidR="00CB4177" w:rsidRPr="00EE00A4" w:rsidRDefault="00FE21F8" w:rsidP="00EE00A4">
            <w:pPr>
              <w:jc w:val="center"/>
              <w:rPr>
                <w:rFonts w:asciiTheme="minorHAnsi" w:hAnsiTheme="minorHAnsi" w:cstheme="minorHAnsi"/>
                <w:sz w:val="22"/>
                <w:szCs w:val="22"/>
              </w:rPr>
            </w:pPr>
            <w:r>
              <w:rPr>
                <w:rFonts w:asciiTheme="minorHAnsi" w:hAnsiTheme="minorHAnsi" w:cstheme="minorHAnsi"/>
                <w:sz w:val="22"/>
                <w:szCs w:val="22"/>
              </w:rPr>
              <w:t>56.6</w:t>
            </w:r>
          </w:p>
        </w:tc>
      </w:tr>
    </w:tbl>
    <w:p w14:paraId="6C2BE7AA" w14:textId="77777777" w:rsidR="00CB4177" w:rsidRPr="00EE00A4" w:rsidRDefault="00CB4177" w:rsidP="00EE00A4">
      <w:pPr>
        <w:rPr>
          <w:rFonts w:asciiTheme="minorHAnsi" w:hAnsiTheme="minorHAnsi" w:cstheme="minorHAnsi"/>
          <w:sz w:val="22"/>
          <w:szCs w:val="22"/>
        </w:rPr>
      </w:pPr>
    </w:p>
    <w:p w14:paraId="6B635D3D" w14:textId="554EB709" w:rsidR="00EE00A4" w:rsidRPr="00EE00A4" w:rsidRDefault="00FE21F8" w:rsidP="00EE00A4">
      <w:pPr>
        <w:rPr>
          <w:rFonts w:asciiTheme="minorHAnsi" w:hAnsiTheme="minorHAnsi" w:cstheme="minorHAnsi"/>
          <w:sz w:val="22"/>
          <w:szCs w:val="22"/>
        </w:rPr>
      </w:pPr>
      <w:r>
        <w:rPr>
          <w:rFonts w:asciiTheme="minorHAnsi" w:hAnsiTheme="minorHAnsi" w:cstheme="minorHAnsi"/>
          <w:sz w:val="22"/>
          <w:szCs w:val="22"/>
        </w:rPr>
        <w:t xml:space="preserve">A year ago, </w:t>
      </w:r>
      <w:r w:rsidR="00CB4177" w:rsidRPr="00EE00A4">
        <w:rPr>
          <w:rFonts w:asciiTheme="minorHAnsi" w:hAnsiTheme="minorHAnsi" w:cstheme="minorHAnsi"/>
          <w:sz w:val="22"/>
          <w:szCs w:val="22"/>
        </w:rPr>
        <w:t>the Midwest tended to do better than elsewhere</w:t>
      </w:r>
      <w:r>
        <w:rPr>
          <w:rFonts w:asciiTheme="minorHAnsi" w:hAnsiTheme="minorHAnsi" w:cstheme="minorHAnsi"/>
          <w:sz w:val="22"/>
          <w:szCs w:val="22"/>
        </w:rPr>
        <w:t xml:space="preserve">; this year, all areas were about the same except the Northeast – which was lower than all the rest.  </w:t>
      </w:r>
    </w:p>
    <w:p w14:paraId="5DFCF05C" w14:textId="77777777" w:rsidR="00EE00A4" w:rsidRDefault="00EE00A4" w:rsidP="00EE00A4">
      <w:pPr>
        <w:rPr>
          <w:rFonts w:asciiTheme="minorHAnsi" w:hAnsiTheme="minorHAnsi" w:cstheme="minorHAnsi"/>
          <w:sz w:val="22"/>
          <w:szCs w:val="22"/>
        </w:rPr>
      </w:pPr>
    </w:p>
    <w:p w14:paraId="4B9DD55C" w14:textId="77777777" w:rsidR="00EE00A4" w:rsidRPr="00EE00A4" w:rsidRDefault="00EE00A4" w:rsidP="00EE00A4">
      <w:pPr>
        <w:rPr>
          <w:rFonts w:asciiTheme="minorHAnsi" w:hAnsiTheme="minorHAnsi" w:cstheme="minorHAnsi"/>
          <w:sz w:val="22"/>
          <w:szCs w:val="22"/>
        </w:rPr>
      </w:pPr>
    </w:p>
    <w:p w14:paraId="20635631" w14:textId="77777777" w:rsidR="00574AD9" w:rsidRDefault="00574AD9" w:rsidP="00EE00A4">
      <w:pPr>
        <w:rPr>
          <w:rFonts w:asciiTheme="minorHAnsi" w:hAnsiTheme="minorHAnsi" w:cstheme="minorHAnsi"/>
          <w:b/>
          <w:sz w:val="22"/>
          <w:szCs w:val="22"/>
        </w:rPr>
      </w:pPr>
    </w:p>
    <w:p w14:paraId="5D8E8BA6" w14:textId="77777777" w:rsidR="00574AD9" w:rsidRDefault="00574AD9" w:rsidP="00EE00A4">
      <w:pPr>
        <w:rPr>
          <w:rFonts w:asciiTheme="minorHAnsi" w:hAnsiTheme="minorHAnsi" w:cstheme="minorHAnsi"/>
          <w:b/>
          <w:sz w:val="22"/>
          <w:szCs w:val="22"/>
        </w:rPr>
      </w:pPr>
    </w:p>
    <w:p w14:paraId="78828B63" w14:textId="77777777" w:rsidR="00574AD9" w:rsidRDefault="00574AD9" w:rsidP="00EE00A4">
      <w:pPr>
        <w:rPr>
          <w:rFonts w:asciiTheme="minorHAnsi" w:hAnsiTheme="minorHAnsi" w:cstheme="minorHAnsi"/>
          <w:b/>
          <w:sz w:val="22"/>
          <w:szCs w:val="22"/>
        </w:rPr>
      </w:pPr>
    </w:p>
    <w:p w14:paraId="46A28BF1" w14:textId="77777777" w:rsidR="00574AD9" w:rsidRDefault="00574AD9" w:rsidP="00EE00A4">
      <w:pPr>
        <w:rPr>
          <w:rFonts w:asciiTheme="minorHAnsi" w:hAnsiTheme="minorHAnsi" w:cstheme="minorHAnsi"/>
          <w:b/>
          <w:sz w:val="22"/>
          <w:szCs w:val="22"/>
        </w:rPr>
      </w:pPr>
    </w:p>
    <w:p w14:paraId="6C0A0948" w14:textId="77777777" w:rsidR="00574AD9" w:rsidRDefault="00574AD9" w:rsidP="00EE00A4">
      <w:pPr>
        <w:rPr>
          <w:rFonts w:asciiTheme="minorHAnsi" w:hAnsiTheme="minorHAnsi" w:cstheme="minorHAnsi"/>
          <w:b/>
          <w:sz w:val="22"/>
          <w:szCs w:val="22"/>
        </w:rPr>
      </w:pPr>
    </w:p>
    <w:p w14:paraId="6CB73FF5" w14:textId="77777777" w:rsidR="00574AD9" w:rsidRDefault="00574AD9" w:rsidP="00EE00A4">
      <w:pPr>
        <w:rPr>
          <w:rFonts w:asciiTheme="minorHAnsi" w:hAnsiTheme="minorHAnsi" w:cstheme="minorHAnsi"/>
          <w:b/>
          <w:sz w:val="22"/>
          <w:szCs w:val="22"/>
        </w:rPr>
      </w:pPr>
    </w:p>
    <w:p w14:paraId="0416508E" w14:textId="77777777" w:rsidR="00574AD9" w:rsidRDefault="00574AD9" w:rsidP="00EE00A4">
      <w:pPr>
        <w:rPr>
          <w:rFonts w:asciiTheme="minorHAnsi" w:hAnsiTheme="minorHAnsi" w:cstheme="minorHAnsi"/>
          <w:b/>
          <w:sz w:val="22"/>
          <w:szCs w:val="22"/>
        </w:rPr>
      </w:pPr>
    </w:p>
    <w:p w14:paraId="5DE57183" w14:textId="77777777" w:rsidR="00574AD9" w:rsidRDefault="00574AD9" w:rsidP="00EE00A4">
      <w:pPr>
        <w:rPr>
          <w:rFonts w:asciiTheme="minorHAnsi" w:hAnsiTheme="minorHAnsi" w:cstheme="minorHAnsi"/>
          <w:b/>
          <w:sz w:val="22"/>
          <w:szCs w:val="22"/>
        </w:rPr>
      </w:pPr>
    </w:p>
    <w:p w14:paraId="37457889" w14:textId="77777777" w:rsidR="00574AD9" w:rsidRDefault="00574AD9" w:rsidP="00EE00A4">
      <w:pPr>
        <w:rPr>
          <w:rFonts w:asciiTheme="minorHAnsi" w:hAnsiTheme="minorHAnsi" w:cstheme="minorHAnsi"/>
          <w:b/>
          <w:sz w:val="22"/>
          <w:szCs w:val="22"/>
        </w:rPr>
      </w:pPr>
    </w:p>
    <w:p w14:paraId="20C25360" w14:textId="77777777" w:rsidR="00574AD9" w:rsidRDefault="00574AD9" w:rsidP="00EE00A4">
      <w:pPr>
        <w:rPr>
          <w:rFonts w:asciiTheme="minorHAnsi" w:hAnsiTheme="minorHAnsi" w:cstheme="minorHAnsi"/>
          <w:b/>
          <w:sz w:val="22"/>
          <w:szCs w:val="22"/>
        </w:rPr>
      </w:pPr>
    </w:p>
    <w:p w14:paraId="15F2B8AA" w14:textId="77777777" w:rsidR="00574AD9" w:rsidRDefault="00574AD9" w:rsidP="00EE00A4">
      <w:pPr>
        <w:rPr>
          <w:rFonts w:asciiTheme="minorHAnsi" w:hAnsiTheme="minorHAnsi" w:cstheme="minorHAnsi"/>
          <w:b/>
          <w:sz w:val="22"/>
          <w:szCs w:val="22"/>
        </w:rPr>
      </w:pPr>
    </w:p>
    <w:p w14:paraId="58689C54" w14:textId="77777777" w:rsidR="00574AD9" w:rsidRDefault="00574AD9" w:rsidP="00EE00A4">
      <w:pPr>
        <w:rPr>
          <w:rFonts w:asciiTheme="minorHAnsi" w:hAnsiTheme="minorHAnsi" w:cstheme="minorHAnsi"/>
          <w:b/>
          <w:sz w:val="22"/>
          <w:szCs w:val="22"/>
        </w:rPr>
      </w:pPr>
    </w:p>
    <w:p w14:paraId="46713C43" w14:textId="77777777" w:rsidR="00574AD9" w:rsidRDefault="00574AD9" w:rsidP="00EE00A4">
      <w:pPr>
        <w:rPr>
          <w:rFonts w:asciiTheme="minorHAnsi" w:hAnsiTheme="minorHAnsi" w:cstheme="minorHAnsi"/>
          <w:b/>
          <w:sz w:val="22"/>
          <w:szCs w:val="22"/>
        </w:rPr>
      </w:pPr>
    </w:p>
    <w:p w14:paraId="010EFF65" w14:textId="4042317C" w:rsidR="00CB4177" w:rsidRPr="00EE00A4" w:rsidRDefault="00CB4177" w:rsidP="00EE00A4">
      <w:pPr>
        <w:rPr>
          <w:rFonts w:asciiTheme="minorHAnsi" w:hAnsiTheme="minorHAnsi" w:cstheme="minorHAnsi"/>
          <w:b/>
          <w:sz w:val="22"/>
          <w:szCs w:val="22"/>
        </w:rPr>
      </w:pPr>
      <w:bookmarkStart w:id="0" w:name="_GoBack"/>
      <w:bookmarkEnd w:id="0"/>
      <w:r w:rsidRPr="00EE00A4">
        <w:rPr>
          <w:rFonts w:asciiTheme="minorHAnsi" w:hAnsiTheme="minorHAnsi" w:cstheme="minorHAnsi"/>
          <w:b/>
          <w:sz w:val="22"/>
          <w:szCs w:val="22"/>
        </w:rPr>
        <w:lastRenderedPageBreak/>
        <w:t>Profitability of TV and radio station websites over time</w:t>
      </w:r>
    </w:p>
    <w:p w14:paraId="3768786B" w14:textId="7777777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noProof/>
          <w:sz w:val="22"/>
          <w:szCs w:val="22"/>
        </w:rPr>
        <w:drawing>
          <wp:inline distT="0" distB="0" distL="0" distR="0" wp14:anchorId="5A272A7C" wp14:editId="2B95B1C9">
            <wp:extent cx="5486400" cy="32004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DE07996" w14:textId="77777777" w:rsidR="00CB4177" w:rsidRPr="00EE00A4" w:rsidRDefault="00CB4177" w:rsidP="00EE00A4">
      <w:pPr>
        <w:rPr>
          <w:rFonts w:asciiTheme="minorHAnsi" w:hAnsiTheme="minorHAnsi" w:cstheme="minorHAnsi"/>
          <w:sz w:val="22"/>
          <w:szCs w:val="22"/>
        </w:rPr>
      </w:pPr>
    </w:p>
    <w:p w14:paraId="67A55731" w14:textId="47D0B587" w:rsidR="00CB4177" w:rsidRPr="00EE00A4" w:rsidRDefault="00CB4177" w:rsidP="00EE00A4">
      <w:pPr>
        <w:rPr>
          <w:rFonts w:asciiTheme="minorHAnsi" w:hAnsiTheme="minorHAnsi" w:cstheme="minorHAnsi"/>
          <w:sz w:val="22"/>
          <w:szCs w:val="22"/>
        </w:rPr>
      </w:pPr>
      <w:r w:rsidRPr="00EE00A4">
        <w:rPr>
          <w:rFonts w:asciiTheme="minorHAnsi" w:hAnsiTheme="minorHAnsi" w:cstheme="minorHAnsi"/>
          <w:sz w:val="22"/>
          <w:szCs w:val="22"/>
        </w:rPr>
        <w:t xml:space="preserve">The general upward trajectory in TV is </w:t>
      </w:r>
      <w:proofErr w:type="gramStart"/>
      <w:r w:rsidRPr="00EE00A4">
        <w:rPr>
          <w:rFonts w:asciiTheme="minorHAnsi" w:hAnsiTheme="minorHAnsi" w:cstheme="minorHAnsi"/>
          <w:sz w:val="22"/>
          <w:szCs w:val="22"/>
        </w:rPr>
        <w:t>pretty clear</w:t>
      </w:r>
      <w:proofErr w:type="gramEnd"/>
      <w:r w:rsidRPr="00EE00A4">
        <w:rPr>
          <w:rFonts w:asciiTheme="minorHAnsi" w:hAnsiTheme="minorHAnsi" w:cstheme="minorHAnsi"/>
          <w:sz w:val="22"/>
          <w:szCs w:val="22"/>
        </w:rPr>
        <w:t>; so is radio's up and down ride.</w:t>
      </w:r>
    </w:p>
    <w:p w14:paraId="4D0EDBA0" w14:textId="77777777" w:rsidR="00CB4177" w:rsidRDefault="00CB4177" w:rsidP="00EE00A4">
      <w:pPr>
        <w:rPr>
          <w:rFonts w:asciiTheme="minorHAnsi" w:hAnsiTheme="minorHAnsi" w:cstheme="minorHAnsi"/>
          <w:sz w:val="22"/>
          <w:szCs w:val="22"/>
        </w:rPr>
      </w:pPr>
    </w:p>
    <w:p w14:paraId="4E0C6762" w14:textId="77777777" w:rsidR="00EE00A4" w:rsidRPr="00EE00A4" w:rsidRDefault="00EE00A4" w:rsidP="00EE00A4">
      <w:pPr>
        <w:rPr>
          <w:rFonts w:asciiTheme="minorHAnsi" w:hAnsiTheme="minorHAnsi" w:cstheme="minorHAnsi"/>
          <w:sz w:val="22"/>
          <w:szCs w:val="22"/>
        </w:rPr>
      </w:pPr>
    </w:p>
    <w:p w14:paraId="4CE707C6" w14:textId="77777777" w:rsidR="00CB4177" w:rsidRPr="00EE00A4" w:rsidRDefault="00CB4177" w:rsidP="00EE00A4">
      <w:pPr>
        <w:rPr>
          <w:rFonts w:asciiTheme="minorHAnsi" w:hAnsiTheme="minorHAnsi" w:cstheme="minorHAnsi"/>
          <w:b/>
          <w:sz w:val="22"/>
          <w:szCs w:val="22"/>
        </w:rPr>
      </w:pPr>
      <w:r w:rsidRPr="00EE00A4">
        <w:rPr>
          <w:rFonts w:asciiTheme="minorHAnsi" w:hAnsiTheme="minorHAnsi" w:cstheme="minorHAnsi"/>
          <w:b/>
          <w:sz w:val="22"/>
          <w:szCs w:val="22"/>
        </w:rPr>
        <w:t>Paywalls</w:t>
      </w:r>
    </w:p>
    <w:p w14:paraId="5622035B" w14:textId="77777777" w:rsidR="00CB4177" w:rsidRPr="00EE00A4" w:rsidRDefault="00CB4177" w:rsidP="00EE00A4">
      <w:pPr>
        <w:rPr>
          <w:rFonts w:asciiTheme="minorHAnsi" w:hAnsiTheme="minorHAnsi" w:cstheme="minorHAnsi"/>
          <w:sz w:val="22"/>
          <w:szCs w:val="22"/>
        </w:rPr>
      </w:pPr>
    </w:p>
    <w:p w14:paraId="71E79E63" w14:textId="34D8F917" w:rsidR="00CB4177" w:rsidRPr="00EE00A4" w:rsidRDefault="00FE21F8" w:rsidP="00EE00A4">
      <w:pPr>
        <w:rPr>
          <w:rFonts w:asciiTheme="minorHAnsi" w:hAnsiTheme="minorHAnsi" w:cstheme="minorHAnsi"/>
          <w:sz w:val="22"/>
          <w:szCs w:val="22"/>
        </w:rPr>
      </w:pPr>
      <w:r>
        <w:rPr>
          <w:rFonts w:asciiTheme="minorHAnsi" w:hAnsiTheme="minorHAnsi" w:cstheme="minorHAnsi"/>
          <w:sz w:val="22"/>
          <w:szCs w:val="22"/>
        </w:rPr>
        <w:t xml:space="preserve">Over the years, 97 to 98 percent of radio stations have not had a paywall.  This year, that edged up to 99.1%.  I found no radio paywalls in the largest or smallest markets … or in the Northeast </w:t>
      </w:r>
      <w:r w:rsidR="00117A6C">
        <w:rPr>
          <w:rFonts w:asciiTheme="minorHAnsi" w:hAnsiTheme="minorHAnsi" w:cstheme="minorHAnsi"/>
          <w:sz w:val="22"/>
          <w:szCs w:val="22"/>
        </w:rPr>
        <w:t>or</w:t>
      </w:r>
      <w:r>
        <w:rPr>
          <w:rFonts w:asciiTheme="minorHAnsi" w:hAnsiTheme="minorHAnsi" w:cstheme="minorHAnsi"/>
          <w:sz w:val="22"/>
          <w:szCs w:val="22"/>
        </w:rPr>
        <w:t xml:space="preserve"> the West.  Of those without paywalls, 98.4% said they are not considering one.  That continues a general upward trend – although there isn’t a big upside at this point</w:t>
      </w:r>
      <w:r w:rsidR="00117A6C">
        <w:rPr>
          <w:rFonts w:asciiTheme="minorHAnsi" w:hAnsiTheme="minorHAnsi" w:cstheme="minorHAnsi"/>
          <w:sz w:val="22"/>
          <w:szCs w:val="22"/>
        </w:rPr>
        <w:t>.</w:t>
      </w:r>
    </w:p>
    <w:p w14:paraId="5DB41E1F" w14:textId="77777777" w:rsidR="00CB4177" w:rsidRPr="00EE00A4" w:rsidRDefault="00CB4177" w:rsidP="00EE00A4">
      <w:pPr>
        <w:rPr>
          <w:rFonts w:asciiTheme="minorHAnsi" w:hAnsiTheme="minorHAnsi" w:cstheme="minorHAnsi"/>
          <w:sz w:val="22"/>
          <w:szCs w:val="22"/>
        </w:rPr>
      </w:pPr>
    </w:p>
    <w:p w14:paraId="61F4634D" w14:textId="77777777" w:rsidR="00EE00A4" w:rsidRPr="00EE00A4" w:rsidRDefault="00EE00A4" w:rsidP="00EE00A4">
      <w:pPr>
        <w:pStyle w:val="BodyText"/>
        <w:tabs>
          <w:tab w:val="left" w:pos="9360"/>
        </w:tabs>
        <w:rPr>
          <w:rFonts w:asciiTheme="minorHAnsi" w:hAnsiTheme="minorHAnsi" w:cstheme="minorHAnsi"/>
          <w:szCs w:val="22"/>
        </w:rPr>
      </w:pPr>
      <w:r w:rsidRPr="00EE00A4">
        <w:rPr>
          <w:rFonts w:asciiTheme="minorHAnsi" w:hAnsiTheme="minorHAnsi" w:cstheme="minorHAnsi"/>
          <w:szCs w:val="22"/>
        </w:rPr>
        <w:t>Major markets are those with 1 million or more potential listeners.  Large markets are from 250,000 to 1 million.  Medium markets are 50,000 to 250,000.  Small markets are fewer than 50,000.</w:t>
      </w:r>
    </w:p>
    <w:p w14:paraId="77926B38" w14:textId="77777777" w:rsidR="00EE00A4" w:rsidRDefault="00EE00A4" w:rsidP="00EE00A4">
      <w:pPr>
        <w:pStyle w:val="BodyText"/>
        <w:tabs>
          <w:tab w:val="left" w:pos="9360"/>
        </w:tabs>
        <w:rPr>
          <w:rFonts w:asciiTheme="minorHAnsi" w:hAnsiTheme="minorHAnsi" w:cstheme="minorHAnsi"/>
          <w:b/>
          <w:szCs w:val="22"/>
        </w:rPr>
      </w:pPr>
    </w:p>
    <w:p w14:paraId="472832E9" w14:textId="77777777" w:rsidR="00EE00A4" w:rsidRPr="00EE00A4" w:rsidRDefault="00EE00A4" w:rsidP="00EE00A4">
      <w:pPr>
        <w:pStyle w:val="BodyText"/>
        <w:tabs>
          <w:tab w:val="left" w:pos="9360"/>
        </w:tabs>
        <w:rPr>
          <w:rFonts w:asciiTheme="minorHAnsi" w:hAnsiTheme="minorHAnsi" w:cstheme="minorHAnsi"/>
          <w:b/>
          <w:szCs w:val="22"/>
        </w:rPr>
      </w:pPr>
    </w:p>
    <w:p w14:paraId="6C360050" w14:textId="77777777" w:rsidR="00EE00A4" w:rsidRPr="00EE00A4" w:rsidRDefault="00EE00A4" w:rsidP="00EE00A4">
      <w:pPr>
        <w:rPr>
          <w:rFonts w:asciiTheme="minorHAnsi" w:hAnsiTheme="minorHAnsi" w:cstheme="minorHAnsi"/>
          <w:sz w:val="22"/>
          <w:szCs w:val="22"/>
        </w:rPr>
      </w:pPr>
    </w:p>
    <w:p w14:paraId="6EB6FDF0" w14:textId="77777777" w:rsidR="00C57EF2" w:rsidRPr="00EE00A4" w:rsidRDefault="00C57EF2" w:rsidP="00EE00A4">
      <w:pPr>
        <w:rPr>
          <w:rFonts w:asciiTheme="minorHAnsi" w:hAnsiTheme="minorHAnsi" w:cstheme="minorHAnsi"/>
          <w:b/>
          <w:bCs/>
          <w:sz w:val="22"/>
          <w:szCs w:val="22"/>
        </w:rPr>
      </w:pPr>
      <w:r w:rsidRPr="00EE00A4">
        <w:rPr>
          <w:rFonts w:asciiTheme="minorHAnsi" w:hAnsiTheme="minorHAnsi" w:cstheme="minorHAnsi"/>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D38CA35" w14:textId="77777777" w:rsidR="00C57EF2" w:rsidRPr="00EE00A4" w:rsidRDefault="00C57EF2" w:rsidP="00EE00A4">
      <w:pPr>
        <w:rPr>
          <w:rFonts w:asciiTheme="minorHAnsi" w:hAnsiTheme="minorHAnsi" w:cstheme="minorHAnsi"/>
          <w:sz w:val="22"/>
          <w:szCs w:val="22"/>
        </w:rPr>
      </w:pPr>
    </w:p>
    <w:p w14:paraId="06B2545C" w14:textId="77777777" w:rsidR="00C57EF2" w:rsidRPr="00EE00A4" w:rsidRDefault="00C57EF2" w:rsidP="00EE00A4">
      <w:pPr>
        <w:rPr>
          <w:rFonts w:asciiTheme="minorHAnsi" w:hAnsiTheme="minorHAnsi" w:cstheme="minorHAnsi"/>
          <w:sz w:val="22"/>
          <w:szCs w:val="22"/>
        </w:rPr>
      </w:pPr>
    </w:p>
    <w:p w14:paraId="025AFFB4" w14:textId="77777777" w:rsidR="00C57EF2" w:rsidRPr="00EE00A4" w:rsidRDefault="00C57EF2" w:rsidP="00EE00A4">
      <w:pPr>
        <w:outlineLvl w:val="0"/>
        <w:rPr>
          <w:rFonts w:asciiTheme="minorHAnsi" w:hAnsiTheme="minorHAnsi" w:cstheme="minorHAnsi"/>
          <w:sz w:val="22"/>
          <w:szCs w:val="22"/>
        </w:rPr>
      </w:pPr>
      <w:r w:rsidRPr="00EE00A4">
        <w:rPr>
          <w:rFonts w:asciiTheme="minorHAnsi" w:hAnsiTheme="minorHAnsi" w:cstheme="minorHAnsi"/>
          <w:b/>
          <w:bCs/>
          <w:sz w:val="22"/>
          <w:szCs w:val="22"/>
        </w:rPr>
        <w:t>About the Survey</w:t>
      </w:r>
    </w:p>
    <w:p w14:paraId="78104B4B" w14:textId="77777777" w:rsidR="00C57EF2" w:rsidRPr="00EE00A4" w:rsidRDefault="00C57EF2" w:rsidP="00EE00A4">
      <w:pPr>
        <w:rPr>
          <w:rFonts w:asciiTheme="minorHAnsi" w:hAnsiTheme="minorHAnsi" w:cstheme="minorHAnsi"/>
          <w:sz w:val="22"/>
          <w:szCs w:val="22"/>
        </w:rPr>
      </w:pPr>
    </w:p>
    <w:p w14:paraId="1AA57FDE" w14:textId="180E7215" w:rsidR="0052095F" w:rsidRPr="004B577A" w:rsidRDefault="004B577A" w:rsidP="00EE00A4">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w:t>
      </w:r>
      <w:r w:rsidRPr="00B91643">
        <w:rPr>
          <w:sz w:val="22"/>
          <w:szCs w:val="22"/>
        </w:rPr>
        <w:lastRenderedPageBreak/>
        <w:t>stations originating local news, getting it from others and women TV news directors) are based on a complete census and are not projected from a smaller sample.</w:t>
      </w:r>
    </w:p>
    <w:sectPr w:rsidR="0052095F" w:rsidRPr="004B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77"/>
    <w:rsid w:val="00117A6C"/>
    <w:rsid w:val="00303226"/>
    <w:rsid w:val="00386174"/>
    <w:rsid w:val="00426CF9"/>
    <w:rsid w:val="004303DD"/>
    <w:rsid w:val="004B577A"/>
    <w:rsid w:val="0052095F"/>
    <w:rsid w:val="00574AD9"/>
    <w:rsid w:val="00A35950"/>
    <w:rsid w:val="00A9349D"/>
    <w:rsid w:val="00B363B8"/>
    <w:rsid w:val="00BF0FE1"/>
    <w:rsid w:val="00C57EF2"/>
    <w:rsid w:val="00CB4177"/>
    <w:rsid w:val="00CC10F8"/>
    <w:rsid w:val="00CF6443"/>
    <w:rsid w:val="00DD146E"/>
    <w:rsid w:val="00EE00A4"/>
    <w:rsid w:val="00F153BC"/>
    <w:rsid w:val="00F17977"/>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FCCB"/>
  <w15:chartTrackingRefBased/>
  <w15:docId w15:val="{D036FF9C-E2A6-44C6-85AF-3313A051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177"/>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spacing w:after="160" w:line="259" w:lineRule="auto"/>
      <w:ind w:left="2880"/>
    </w:pPr>
    <w:rPr>
      <w:rFonts w:eastAsiaTheme="majorEastAsia" w:cstheme="majorBidi"/>
      <w:sz w:val="22"/>
    </w:rPr>
  </w:style>
  <w:style w:type="paragraph" w:styleId="EnvelopeReturn">
    <w:name w:val="envelope return"/>
    <w:basedOn w:val="Normal"/>
    <w:uiPriority w:val="99"/>
    <w:semiHidden/>
    <w:unhideWhenUsed/>
    <w:rsid w:val="004303DD"/>
    <w:pPr>
      <w:spacing w:after="160" w:line="259" w:lineRule="auto"/>
    </w:pPr>
    <w:rPr>
      <w:rFonts w:eastAsiaTheme="majorEastAsia" w:cstheme="majorBidi"/>
      <w:sz w:val="22"/>
      <w:szCs w:val="20"/>
    </w:rPr>
  </w:style>
  <w:style w:type="paragraph" w:styleId="BodyText">
    <w:name w:val="Body Text"/>
    <w:basedOn w:val="Normal"/>
    <w:link w:val="BodyTextChar"/>
    <w:rsid w:val="00CB4177"/>
    <w:rPr>
      <w:sz w:val="22"/>
    </w:rPr>
  </w:style>
  <w:style w:type="character" w:customStyle="1" w:styleId="BodyTextChar">
    <w:name w:val="Body Text Char"/>
    <w:basedOn w:val="DefaultParagraphFont"/>
    <w:link w:val="BodyText"/>
    <w:rsid w:val="00CB417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Sheet1!$B$1:$V$1</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Sheet1!$B$2:$V$2</c:f>
              <c:numCache>
                <c:formatCode>General</c:formatCode>
                <c:ptCount val="21"/>
                <c:pt idx="0">
                  <c:v>6</c:v>
                </c:pt>
                <c:pt idx="1">
                  <c:v>11</c:v>
                </c:pt>
                <c:pt idx="2">
                  <c:v>7</c:v>
                </c:pt>
                <c:pt idx="3">
                  <c:v>9.6999999999999993</c:v>
                </c:pt>
                <c:pt idx="4">
                  <c:v>12.8</c:v>
                </c:pt>
                <c:pt idx="5">
                  <c:v>14.1</c:v>
                </c:pt>
                <c:pt idx="6">
                  <c:v>15.1</c:v>
                </c:pt>
                <c:pt idx="7">
                  <c:v>24</c:v>
                </c:pt>
                <c:pt idx="8">
                  <c:v>22.8</c:v>
                </c:pt>
                <c:pt idx="9">
                  <c:v>31.2</c:v>
                </c:pt>
                <c:pt idx="10">
                  <c:v>30.7</c:v>
                </c:pt>
                <c:pt idx="11">
                  <c:v>35</c:v>
                </c:pt>
                <c:pt idx="12">
                  <c:v>31.6</c:v>
                </c:pt>
                <c:pt idx="13">
                  <c:v>39.700000000000003</c:v>
                </c:pt>
                <c:pt idx="14">
                  <c:v>39.1</c:v>
                </c:pt>
                <c:pt idx="15">
                  <c:v>37</c:v>
                </c:pt>
                <c:pt idx="16">
                  <c:v>38.299999999999997</c:v>
                </c:pt>
                <c:pt idx="17">
                  <c:v>44.1</c:v>
                </c:pt>
                <c:pt idx="18">
                  <c:v>46.4</c:v>
                </c:pt>
                <c:pt idx="19">
                  <c:v>40.700000000000003</c:v>
                </c:pt>
                <c:pt idx="20">
                  <c:v>42.5</c:v>
                </c:pt>
              </c:numCache>
            </c:numRef>
          </c:val>
          <c:smooth val="0"/>
          <c:extLst>
            <c:ext xmlns:c16="http://schemas.microsoft.com/office/drawing/2014/chart" uri="{C3380CC4-5D6E-409C-BE32-E72D297353CC}">
              <c16:uniqueId val="{00000000-B577-4C4E-8058-4A84F7613A6E}"/>
            </c:ext>
          </c:extLst>
        </c:ser>
        <c:ser>
          <c:idx val="1"/>
          <c:order val="1"/>
          <c:tx>
            <c:strRef>
              <c:f>Sheet1!$A$3</c:f>
              <c:strCache>
                <c:ptCount val="1"/>
                <c:pt idx="0">
                  <c:v>Radio</c:v>
                </c:pt>
              </c:strCache>
            </c:strRef>
          </c:tx>
          <c:marker>
            <c:symbol val="none"/>
          </c:marker>
          <c:cat>
            <c:strRef>
              <c:f>Sheet1!$B$1:$V$1</c:f>
              <c:strCache>
                <c:ptCount val="21"/>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strCache>
            </c:strRef>
          </c:cat>
          <c:val>
            <c:numRef>
              <c:f>Sheet1!$B$3:$V$3</c:f>
              <c:numCache>
                <c:formatCode>General</c:formatCode>
                <c:ptCount val="21"/>
                <c:pt idx="0">
                  <c:v>2</c:v>
                </c:pt>
                <c:pt idx="1">
                  <c:v>4</c:v>
                </c:pt>
                <c:pt idx="2">
                  <c:v>7.8</c:v>
                </c:pt>
                <c:pt idx="3">
                  <c:v>4.7</c:v>
                </c:pt>
                <c:pt idx="4">
                  <c:v>3.8</c:v>
                </c:pt>
                <c:pt idx="5">
                  <c:v>4.7</c:v>
                </c:pt>
                <c:pt idx="6">
                  <c:v>4.2</c:v>
                </c:pt>
                <c:pt idx="7">
                  <c:v>10.7</c:v>
                </c:pt>
                <c:pt idx="8">
                  <c:v>6.5</c:v>
                </c:pt>
                <c:pt idx="9">
                  <c:v>6.5</c:v>
                </c:pt>
                <c:pt idx="10">
                  <c:v>14.7</c:v>
                </c:pt>
                <c:pt idx="11">
                  <c:v>9.6999999999999993</c:v>
                </c:pt>
                <c:pt idx="12">
                  <c:v>16.100000000000001</c:v>
                </c:pt>
                <c:pt idx="13">
                  <c:v>12.8</c:v>
                </c:pt>
                <c:pt idx="14">
                  <c:v>10.9</c:v>
                </c:pt>
                <c:pt idx="15">
                  <c:v>15.4</c:v>
                </c:pt>
                <c:pt idx="16">
                  <c:v>8.1</c:v>
                </c:pt>
                <c:pt idx="17">
                  <c:v>15.3</c:v>
                </c:pt>
                <c:pt idx="18">
                  <c:v>13.6</c:v>
                </c:pt>
                <c:pt idx="19">
                  <c:v>13.8</c:v>
                </c:pt>
                <c:pt idx="20">
                  <c:v>12.7</c:v>
                </c:pt>
              </c:numCache>
            </c:numRef>
          </c:val>
          <c:smooth val="0"/>
          <c:extLst>
            <c:ext xmlns:c16="http://schemas.microsoft.com/office/drawing/2014/chart" uri="{C3380CC4-5D6E-409C-BE32-E72D297353CC}">
              <c16:uniqueId val="{00000001-B577-4C4E-8058-4A84F7613A6E}"/>
            </c:ext>
          </c:extLst>
        </c:ser>
        <c:dLbls>
          <c:showLegendKey val="0"/>
          <c:showVal val="0"/>
          <c:showCatName val="0"/>
          <c:showSerName val="0"/>
          <c:showPercent val="0"/>
          <c:showBubbleSize val="0"/>
        </c:dLbls>
        <c:smooth val="0"/>
        <c:axId val="187271144"/>
        <c:axId val="187270752"/>
      </c:lineChart>
      <c:catAx>
        <c:axId val="187271144"/>
        <c:scaling>
          <c:orientation val="minMax"/>
        </c:scaling>
        <c:delete val="0"/>
        <c:axPos val="b"/>
        <c:numFmt formatCode="General" sourceLinked="0"/>
        <c:majorTickMark val="none"/>
        <c:minorTickMark val="none"/>
        <c:tickLblPos val="nextTo"/>
        <c:crossAx val="187270752"/>
        <c:crosses val="autoZero"/>
        <c:auto val="1"/>
        <c:lblAlgn val="ctr"/>
        <c:lblOffset val="100"/>
        <c:noMultiLvlLbl val="0"/>
      </c:catAx>
      <c:valAx>
        <c:axId val="187270752"/>
        <c:scaling>
          <c:orientation val="minMax"/>
        </c:scaling>
        <c:delete val="0"/>
        <c:axPos val="l"/>
        <c:numFmt formatCode="General" sourceLinked="1"/>
        <c:majorTickMark val="none"/>
        <c:minorTickMark val="none"/>
        <c:tickLblPos val="nextTo"/>
        <c:crossAx val="187271144"/>
        <c:crosses val="autoZero"/>
        <c:crossBetween val="between"/>
      </c:valAx>
    </c:plotArea>
    <c:legend>
      <c:legendPos val="b"/>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2019-03-04T19:00:00Z</dcterms:created>
  <dcterms:modified xsi:type="dcterms:W3CDTF">2019-03-04T19:00:00Z</dcterms:modified>
</cp:coreProperties>
</file>