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B11" w:rsidRDefault="00B10B11" w:rsidP="00B10B11">
      <w:pPr>
        <w:spacing w:line="360" w:lineRule="auto"/>
      </w:pPr>
      <w:r>
        <w:rPr>
          <w:noProof/>
        </w:rPr>
        <mc:AlternateContent>
          <mc:Choice Requires="wps">
            <w:drawing>
              <wp:anchor distT="0" distB="0" distL="114300" distR="114300" simplePos="0" relativeHeight="251659264" behindDoc="0" locked="0" layoutInCell="1" allowOverlap="1" wp14:anchorId="41D8CD36" wp14:editId="3545612B">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rsidR="00B10B11" w:rsidRPr="00B10B11" w:rsidRDefault="00B10B11" w:rsidP="00B10B11">
                            <w:pPr>
                              <w:rPr>
                                <w:rFonts w:ascii="Arial" w:hAnsi="Arial" w:cs="Arial"/>
                                <w:sz w:val="22"/>
                                <w:szCs w:val="22"/>
                              </w:rPr>
                            </w:pPr>
                            <w:r w:rsidRPr="00B10B11">
                              <w:rPr>
                                <w:rFonts w:ascii="Arial" w:hAnsi="Arial" w:cs="Arial"/>
                                <w:sz w:val="22"/>
                                <w:szCs w:val="22"/>
                              </w:rPr>
                              <w:t>An introductory note, if you will.  2019 marks my 25th year conducting the</w:t>
                            </w:r>
                          </w:p>
                          <w:p w:rsidR="00B10B11" w:rsidRPr="00B10B11" w:rsidRDefault="00B10B11" w:rsidP="00B10B11">
                            <w:pPr>
                              <w:rPr>
                                <w:rFonts w:ascii="Arial" w:hAnsi="Arial" w:cs="Arial"/>
                                <w:sz w:val="22"/>
                                <w:szCs w:val="22"/>
                              </w:rPr>
                            </w:pPr>
                            <w:r w:rsidRPr="00B10B11">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B10B11" w:rsidRPr="00B10B11" w:rsidRDefault="00B10B11" w:rsidP="00B10B11">
                            <w:pPr>
                              <w:rPr>
                                <w:rFonts w:ascii="Arial" w:hAnsi="Arial" w:cs="Arial"/>
                                <w:sz w:val="22"/>
                                <w:szCs w:val="22"/>
                              </w:rPr>
                            </w:pPr>
                            <w:r w:rsidRPr="00B10B11">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8CD36"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rsidR="00B10B11" w:rsidRPr="00B10B11" w:rsidRDefault="00B10B11" w:rsidP="00B10B11">
                      <w:pPr>
                        <w:rPr>
                          <w:rFonts w:ascii="Arial" w:hAnsi="Arial" w:cs="Arial"/>
                          <w:sz w:val="22"/>
                          <w:szCs w:val="22"/>
                        </w:rPr>
                      </w:pPr>
                      <w:r w:rsidRPr="00B10B11">
                        <w:rPr>
                          <w:rFonts w:ascii="Arial" w:hAnsi="Arial" w:cs="Arial"/>
                          <w:sz w:val="22"/>
                          <w:szCs w:val="22"/>
                        </w:rPr>
                        <w:t>An introductory note, if you will.  2019 marks my 25th year conducting the</w:t>
                      </w:r>
                    </w:p>
                    <w:p w:rsidR="00B10B11" w:rsidRPr="00B10B11" w:rsidRDefault="00B10B11" w:rsidP="00B10B11">
                      <w:pPr>
                        <w:rPr>
                          <w:rFonts w:ascii="Arial" w:hAnsi="Arial" w:cs="Arial"/>
                          <w:sz w:val="22"/>
                          <w:szCs w:val="22"/>
                        </w:rPr>
                      </w:pPr>
                      <w:r w:rsidRPr="00B10B11">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B10B11" w:rsidRPr="00B10B11" w:rsidRDefault="00B10B11" w:rsidP="00B10B11">
                      <w:pPr>
                        <w:rPr>
                          <w:rFonts w:ascii="Arial" w:hAnsi="Arial" w:cs="Arial"/>
                          <w:sz w:val="22"/>
                          <w:szCs w:val="22"/>
                        </w:rPr>
                      </w:pPr>
                      <w:r w:rsidRPr="00B10B11">
                        <w:rPr>
                          <w:rFonts w:ascii="Arial" w:hAnsi="Arial" w:cs="Arial"/>
                          <w:sz w:val="22"/>
                          <w:szCs w:val="22"/>
                        </w:rPr>
                        <w:t>- Bob Papper</w:t>
                      </w:r>
                    </w:p>
                  </w:txbxContent>
                </v:textbox>
              </v:shape>
            </w:pict>
          </mc:Fallback>
        </mc:AlternateContent>
      </w:r>
    </w:p>
    <w:p w:rsidR="00B10B11" w:rsidRDefault="00B10B11" w:rsidP="00B10B11">
      <w:pPr>
        <w:spacing w:line="360" w:lineRule="auto"/>
      </w:pPr>
    </w:p>
    <w:p w:rsidR="00B10B11" w:rsidRDefault="00B10B11" w:rsidP="00B10B11">
      <w:pPr>
        <w:spacing w:line="360" w:lineRule="auto"/>
      </w:pPr>
    </w:p>
    <w:p w:rsidR="00B10B11" w:rsidRDefault="00B10B11" w:rsidP="00B10B11">
      <w:pPr>
        <w:spacing w:line="360" w:lineRule="auto"/>
      </w:pPr>
    </w:p>
    <w:p w:rsidR="00B10B11" w:rsidRDefault="00B10B11" w:rsidP="00B10B11">
      <w:pPr>
        <w:spacing w:line="360" w:lineRule="auto"/>
      </w:pPr>
    </w:p>
    <w:p w:rsidR="00B10B11" w:rsidRDefault="00B10B11" w:rsidP="00B10B11">
      <w:pPr>
        <w:spacing w:line="360" w:lineRule="auto"/>
      </w:pPr>
    </w:p>
    <w:p w:rsidR="00B10B11" w:rsidRDefault="00B10B11" w:rsidP="00FC5AE8">
      <w:pPr>
        <w:tabs>
          <w:tab w:val="left" w:pos="9360"/>
        </w:tabs>
        <w:spacing w:line="360" w:lineRule="auto"/>
        <w:rPr>
          <w:rFonts w:ascii="Arial" w:hAnsi="Arial" w:cs="Arial"/>
          <w:b/>
          <w:sz w:val="22"/>
          <w:szCs w:val="22"/>
        </w:rPr>
      </w:pPr>
    </w:p>
    <w:p w:rsidR="00B10B11" w:rsidRDefault="00B10B11" w:rsidP="00FC5AE8">
      <w:pPr>
        <w:tabs>
          <w:tab w:val="left" w:pos="9360"/>
        </w:tabs>
        <w:spacing w:line="360" w:lineRule="auto"/>
        <w:rPr>
          <w:rFonts w:ascii="Arial" w:hAnsi="Arial" w:cs="Arial"/>
          <w:b/>
          <w:sz w:val="22"/>
          <w:szCs w:val="22"/>
        </w:rPr>
      </w:pPr>
    </w:p>
    <w:p w:rsidR="004D342D" w:rsidRDefault="004D342D" w:rsidP="00FC5AE8">
      <w:pPr>
        <w:tabs>
          <w:tab w:val="left" w:pos="9360"/>
        </w:tabs>
        <w:spacing w:line="360" w:lineRule="auto"/>
        <w:rPr>
          <w:rFonts w:ascii="Arial" w:hAnsi="Arial" w:cs="Arial"/>
          <w:b/>
          <w:sz w:val="22"/>
          <w:szCs w:val="22"/>
        </w:rPr>
      </w:pPr>
    </w:p>
    <w:p w:rsidR="00B10B11" w:rsidRDefault="00B10B11" w:rsidP="00FC5AE8">
      <w:pPr>
        <w:tabs>
          <w:tab w:val="left" w:pos="9360"/>
        </w:tabs>
        <w:spacing w:line="360" w:lineRule="auto"/>
        <w:rPr>
          <w:rFonts w:ascii="Arial" w:hAnsi="Arial" w:cs="Arial"/>
          <w:b/>
          <w:sz w:val="22"/>
          <w:szCs w:val="22"/>
        </w:rPr>
      </w:pPr>
    </w:p>
    <w:p w:rsidR="007834E1" w:rsidRDefault="007834E1" w:rsidP="00B10B11">
      <w:pPr>
        <w:tabs>
          <w:tab w:val="left" w:pos="9360"/>
        </w:tabs>
        <w:rPr>
          <w:rFonts w:ascii="Arial" w:hAnsi="Arial" w:cs="Arial"/>
          <w:b/>
          <w:sz w:val="22"/>
          <w:szCs w:val="22"/>
        </w:rPr>
      </w:pPr>
      <w:r>
        <w:rPr>
          <w:rFonts w:ascii="Arial" w:hAnsi="Arial" w:cs="Arial"/>
          <w:b/>
          <w:sz w:val="22"/>
          <w:szCs w:val="22"/>
        </w:rPr>
        <w:t xml:space="preserve">Changing </w:t>
      </w:r>
      <w:r w:rsidR="007400FA">
        <w:rPr>
          <w:rFonts w:ascii="Arial" w:hAnsi="Arial" w:cs="Arial"/>
          <w:b/>
          <w:sz w:val="22"/>
          <w:szCs w:val="22"/>
        </w:rPr>
        <w:t>C</w:t>
      </w:r>
      <w:r>
        <w:rPr>
          <w:rFonts w:ascii="Arial" w:hAnsi="Arial" w:cs="Arial"/>
          <w:b/>
          <w:sz w:val="22"/>
          <w:szCs w:val="22"/>
        </w:rPr>
        <w:t xml:space="preserve">overage in </w:t>
      </w:r>
      <w:r w:rsidR="007400FA">
        <w:rPr>
          <w:rFonts w:ascii="Arial" w:hAnsi="Arial" w:cs="Arial"/>
          <w:b/>
          <w:sz w:val="22"/>
          <w:szCs w:val="22"/>
        </w:rPr>
        <w:t>L</w:t>
      </w:r>
      <w:r>
        <w:rPr>
          <w:rFonts w:ascii="Arial" w:hAnsi="Arial" w:cs="Arial"/>
          <w:b/>
          <w:sz w:val="22"/>
          <w:szCs w:val="22"/>
        </w:rPr>
        <w:t xml:space="preserve">ocal </w:t>
      </w:r>
      <w:r w:rsidR="007400FA">
        <w:rPr>
          <w:rFonts w:ascii="Arial" w:hAnsi="Arial" w:cs="Arial"/>
          <w:b/>
          <w:sz w:val="22"/>
          <w:szCs w:val="22"/>
        </w:rPr>
        <w:t>N</w:t>
      </w:r>
      <w:r>
        <w:rPr>
          <w:rFonts w:ascii="Arial" w:hAnsi="Arial" w:cs="Arial"/>
          <w:b/>
          <w:sz w:val="22"/>
          <w:szCs w:val="22"/>
        </w:rPr>
        <w:t>ews</w:t>
      </w:r>
    </w:p>
    <w:p w:rsidR="007834E1" w:rsidRPr="007834E1" w:rsidRDefault="007834E1" w:rsidP="00B10B11">
      <w:pPr>
        <w:tabs>
          <w:tab w:val="left" w:pos="9360"/>
        </w:tabs>
        <w:rPr>
          <w:rFonts w:ascii="Arial" w:hAnsi="Arial" w:cs="Arial"/>
          <w:b/>
          <w:sz w:val="22"/>
          <w:szCs w:val="22"/>
        </w:rPr>
      </w:pPr>
      <w:r>
        <w:rPr>
          <w:rFonts w:ascii="Arial" w:hAnsi="Arial" w:cs="Arial"/>
          <w:b/>
          <w:sz w:val="22"/>
          <w:szCs w:val="22"/>
        </w:rPr>
        <w:t>by Bob Papper</w:t>
      </w:r>
    </w:p>
    <w:p w:rsidR="007834E1" w:rsidRDefault="007834E1" w:rsidP="00FC5AE8">
      <w:pPr>
        <w:tabs>
          <w:tab w:val="left" w:pos="9360"/>
        </w:tabs>
        <w:spacing w:line="360" w:lineRule="auto"/>
        <w:rPr>
          <w:rFonts w:ascii="Arial" w:hAnsi="Arial" w:cs="Arial"/>
          <w:sz w:val="22"/>
          <w:szCs w:val="22"/>
        </w:rPr>
      </w:pPr>
    </w:p>
    <w:p w:rsidR="007834E1" w:rsidRDefault="007834E1" w:rsidP="00FC5AE8">
      <w:pPr>
        <w:tabs>
          <w:tab w:val="left" w:pos="9360"/>
        </w:tabs>
        <w:spacing w:line="360" w:lineRule="auto"/>
        <w:rPr>
          <w:rFonts w:ascii="Arial" w:hAnsi="Arial" w:cs="Arial"/>
          <w:sz w:val="22"/>
          <w:szCs w:val="22"/>
        </w:rPr>
      </w:pPr>
    </w:p>
    <w:p w:rsidR="007834E1" w:rsidRDefault="007400FA" w:rsidP="007400FA">
      <w:pPr>
        <w:tabs>
          <w:tab w:val="left" w:pos="9360"/>
        </w:tabs>
        <w:rPr>
          <w:rFonts w:ascii="Arial" w:hAnsi="Arial" w:cs="Arial"/>
          <w:sz w:val="22"/>
          <w:szCs w:val="22"/>
        </w:rPr>
      </w:pPr>
      <w:r>
        <w:rPr>
          <w:rFonts w:ascii="Arial" w:hAnsi="Arial" w:cs="Arial"/>
          <w:sz w:val="22"/>
          <w:szCs w:val="22"/>
        </w:rPr>
        <w:t xml:space="preserve">Are local radio and TV newsrooms changing what they cover?  </w:t>
      </w:r>
      <w:proofErr w:type="gramStart"/>
      <w:r w:rsidR="00955B60">
        <w:rPr>
          <w:rFonts w:ascii="Arial" w:hAnsi="Arial" w:cs="Arial"/>
          <w:sz w:val="22"/>
          <w:szCs w:val="22"/>
        </w:rPr>
        <w:t>Four</w:t>
      </w:r>
      <w:proofErr w:type="gramEnd"/>
      <w:r w:rsidR="00955B60">
        <w:rPr>
          <w:rFonts w:ascii="Arial" w:hAnsi="Arial" w:cs="Arial"/>
          <w:sz w:val="22"/>
          <w:szCs w:val="22"/>
        </w:rPr>
        <w:t xml:space="preserve"> years ago, I asked if stations were putting more, less or the same emphasis on a series of topic areas.  This year, </w:t>
      </w:r>
      <w:r>
        <w:rPr>
          <w:rFonts w:ascii="Arial" w:hAnsi="Arial" w:cs="Arial"/>
          <w:sz w:val="22"/>
          <w:szCs w:val="22"/>
        </w:rPr>
        <w:t>I</w:t>
      </w:r>
      <w:r w:rsidR="00955B60">
        <w:rPr>
          <w:rFonts w:ascii="Arial" w:hAnsi="Arial" w:cs="Arial"/>
          <w:sz w:val="22"/>
          <w:szCs w:val="22"/>
        </w:rPr>
        <w:t xml:space="preserve"> looked to update those numbers to see </w:t>
      </w:r>
      <w:r>
        <w:rPr>
          <w:rFonts w:ascii="Arial" w:hAnsi="Arial" w:cs="Arial"/>
          <w:sz w:val="22"/>
          <w:szCs w:val="22"/>
        </w:rPr>
        <w:t xml:space="preserve">what, if anything, </w:t>
      </w:r>
      <w:r w:rsidR="00955B60">
        <w:rPr>
          <w:rFonts w:ascii="Arial" w:hAnsi="Arial" w:cs="Arial"/>
          <w:sz w:val="22"/>
          <w:szCs w:val="22"/>
        </w:rPr>
        <w:t>had changed.</w:t>
      </w:r>
    </w:p>
    <w:p w:rsidR="00955B60" w:rsidRDefault="00955B60" w:rsidP="007400FA">
      <w:pPr>
        <w:tabs>
          <w:tab w:val="left" w:pos="9360"/>
        </w:tabs>
        <w:rPr>
          <w:rFonts w:ascii="Arial" w:hAnsi="Arial" w:cs="Arial"/>
          <w:sz w:val="22"/>
          <w:szCs w:val="22"/>
        </w:rPr>
      </w:pPr>
    </w:p>
    <w:p w:rsidR="007834E1" w:rsidRDefault="006A2E37" w:rsidP="007400FA">
      <w:pPr>
        <w:tabs>
          <w:tab w:val="left" w:pos="9360"/>
        </w:tabs>
        <w:rPr>
          <w:rFonts w:ascii="Arial" w:hAnsi="Arial" w:cs="Arial"/>
          <w:sz w:val="22"/>
          <w:szCs w:val="22"/>
        </w:rPr>
      </w:pPr>
      <w:r>
        <w:rPr>
          <w:rFonts w:ascii="Arial" w:hAnsi="Arial" w:cs="Arial"/>
          <w:sz w:val="22"/>
          <w:szCs w:val="22"/>
        </w:rPr>
        <w:t xml:space="preserve">Most of the questions in the RTDNA/Hofstra University Survey of radio and TV news </w:t>
      </w:r>
      <w:r w:rsidR="006E4562">
        <w:rPr>
          <w:rFonts w:ascii="Arial" w:hAnsi="Arial" w:cs="Arial"/>
          <w:sz w:val="22"/>
          <w:szCs w:val="22"/>
        </w:rPr>
        <w:t xml:space="preserve">have historically </w:t>
      </w:r>
      <w:r>
        <w:rPr>
          <w:rFonts w:ascii="Arial" w:hAnsi="Arial" w:cs="Arial"/>
          <w:sz w:val="22"/>
          <w:szCs w:val="22"/>
        </w:rPr>
        <w:t>involve</w:t>
      </w:r>
      <w:r w:rsidR="006E4562">
        <w:rPr>
          <w:rFonts w:ascii="Arial" w:hAnsi="Arial" w:cs="Arial"/>
          <w:sz w:val="22"/>
          <w:szCs w:val="22"/>
        </w:rPr>
        <w:t>d</w:t>
      </w:r>
      <w:r>
        <w:rPr>
          <w:rFonts w:ascii="Arial" w:hAnsi="Arial" w:cs="Arial"/>
          <w:sz w:val="22"/>
          <w:szCs w:val="22"/>
        </w:rPr>
        <w:t xml:space="preserve"> a quantification of the industry.  How many stations?  How much news?  Salary numbers.  But I frequently get asked content-related questions ... questions about the changing emphasis or direction in local news.  And </w:t>
      </w:r>
      <w:r w:rsidR="006E4562">
        <w:rPr>
          <w:rFonts w:ascii="Arial" w:hAnsi="Arial" w:cs="Arial"/>
          <w:sz w:val="22"/>
          <w:szCs w:val="22"/>
        </w:rPr>
        <w:t xml:space="preserve">the survey has increasingly asked questions about content and the direction of the industry.  This is one of the first times I’m able to update </w:t>
      </w:r>
      <w:r w:rsidR="009A162E">
        <w:rPr>
          <w:rFonts w:ascii="Arial" w:hAnsi="Arial" w:cs="Arial"/>
          <w:sz w:val="22"/>
          <w:szCs w:val="22"/>
        </w:rPr>
        <w:t>such a question.  And there are key changes from four years ago and more detail on those changes.</w:t>
      </w:r>
    </w:p>
    <w:p w:rsidR="00FC5AE8" w:rsidRDefault="00FC5AE8" w:rsidP="007400FA">
      <w:pPr>
        <w:tabs>
          <w:tab w:val="left" w:pos="9360"/>
        </w:tabs>
        <w:rPr>
          <w:rFonts w:ascii="Arial" w:hAnsi="Arial" w:cs="Arial"/>
          <w:sz w:val="22"/>
          <w:szCs w:val="22"/>
        </w:rPr>
      </w:pPr>
      <w:r>
        <w:rPr>
          <w:rFonts w:ascii="Arial" w:hAnsi="Arial" w:cs="Arial"/>
          <w:sz w:val="22"/>
          <w:szCs w:val="22"/>
        </w:rPr>
        <w:t>.</w:t>
      </w:r>
    </w:p>
    <w:p w:rsidR="00FC5AE8" w:rsidRDefault="00FC5AE8" w:rsidP="007400FA">
      <w:pPr>
        <w:tabs>
          <w:tab w:val="left" w:pos="9360"/>
        </w:tabs>
        <w:rPr>
          <w:rFonts w:ascii="Arial" w:hAnsi="Arial" w:cs="Arial"/>
          <w:sz w:val="22"/>
          <w:szCs w:val="22"/>
        </w:rPr>
      </w:pPr>
    </w:p>
    <w:p w:rsidR="00FC5AE8" w:rsidRPr="00FA0014" w:rsidRDefault="00383E4A" w:rsidP="007400FA">
      <w:pPr>
        <w:tabs>
          <w:tab w:val="left" w:pos="9360"/>
        </w:tabs>
        <w:rPr>
          <w:rFonts w:ascii="Arial" w:hAnsi="Arial" w:cs="Arial"/>
          <w:b/>
          <w:sz w:val="22"/>
          <w:szCs w:val="22"/>
        </w:rPr>
      </w:pPr>
      <w:proofErr w:type="gramStart"/>
      <w:r w:rsidRPr="00FA0014">
        <w:rPr>
          <w:rFonts w:ascii="Arial" w:hAnsi="Arial" w:cs="Arial"/>
          <w:b/>
          <w:sz w:val="22"/>
          <w:szCs w:val="22"/>
        </w:rPr>
        <w:t>TV :</w:t>
      </w:r>
      <w:proofErr w:type="gramEnd"/>
      <w:r w:rsidRPr="00FA0014">
        <w:rPr>
          <w:rFonts w:ascii="Arial" w:hAnsi="Arial" w:cs="Arial"/>
          <w:b/>
          <w:sz w:val="22"/>
          <w:szCs w:val="22"/>
        </w:rPr>
        <w:t xml:space="preserve"> </w:t>
      </w:r>
      <w:r w:rsidR="00FC5AE8" w:rsidRPr="00FA0014">
        <w:rPr>
          <w:rFonts w:ascii="Arial" w:hAnsi="Arial" w:cs="Arial"/>
          <w:b/>
          <w:sz w:val="22"/>
          <w:szCs w:val="22"/>
        </w:rPr>
        <w:t>Compared to a year ago, are you placing more, less or the same emphasis or resources on:</w:t>
      </w:r>
    </w:p>
    <w:tbl>
      <w:tblPr>
        <w:tblStyle w:val="TableGrid"/>
        <w:tblW w:w="0" w:type="auto"/>
        <w:tblLook w:val="04A0" w:firstRow="1" w:lastRow="0" w:firstColumn="1" w:lastColumn="0" w:noHBand="0" w:noVBand="1"/>
      </w:tblPr>
      <w:tblGrid>
        <w:gridCol w:w="3618"/>
        <w:gridCol w:w="1260"/>
        <w:gridCol w:w="1260"/>
        <w:gridCol w:w="1260"/>
      </w:tblGrid>
      <w:tr w:rsidR="00FC5AE8" w:rsidTr="00FC1E14">
        <w:tc>
          <w:tcPr>
            <w:tcW w:w="3618" w:type="dxa"/>
          </w:tcPr>
          <w:p w:rsidR="00FC5AE8" w:rsidRDefault="00FC5AE8" w:rsidP="007400FA">
            <w:pPr>
              <w:tabs>
                <w:tab w:val="left" w:pos="9360"/>
              </w:tabs>
              <w:rPr>
                <w:rFonts w:ascii="Arial" w:hAnsi="Arial" w:cs="Arial"/>
                <w:sz w:val="22"/>
                <w:szCs w:val="22"/>
              </w:rPr>
            </w:pPr>
          </w:p>
        </w:tc>
        <w:tc>
          <w:tcPr>
            <w:tcW w:w="126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More</w:t>
            </w:r>
          </w:p>
        </w:tc>
        <w:tc>
          <w:tcPr>
            <w:tcW w:w="126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Less</w:t>
            </w:r>
          </w:p>
        </w:tc>
        <w:tc>
          <w:tcPr>
            <w:tcW w:w="126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Same</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Investigative reporting</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54.3%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40.8%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Live reporting</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47.2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2.1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50.7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Weather</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47.7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1.4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50.9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Politics/government</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43.3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2.5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54.3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Beat reporting generally</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31.8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5.4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62.8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Consumer issues</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28.5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3.6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68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Education</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15.1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5.4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79.6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Sports</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16.7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23.1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60.1 </w:t>
            </w:r>
          </w:p>
        </w:tc>
      </w:tr>
      <w:tr w:rsidR="00FC5AE8" w:rsidTr="00FC1E14">
        <w:tc>
          <w:tcPr>
            <w:tcW w:w="3618" w:type="dxa"/>
          </w:tcPr>
          <w:p w:rsidR="00FC5AE8" w:rsidRDefault="00FC5AE8" w:rsidP="007400FA">
            <w:pPr>
              <w:tabs>
                <w:tab w:val="left" w:pos="9360"/>
              </w:tabs>
              <w:rPr>
                <w:rFonts w:ascii="Arial" w:hAnsi="Arial" w:cs="Arial"/>
                <w:sz w:val="22"/>
                <w:szCs w:val="22"/>
              </w:rPr>
            </w:pPr>
            <w:r>
              <w:rPr>
                <w:rFonts w:ascii="Arial" w:hAnsi="Arial" w:cs="Arial"/>
                <w:sz w:val="22"/>
                <w:szCs w:val="22"/>
              </w:rPr>
              <w:t>Traffic</w:t>
            </w:r>
            <w:r w:rsidR="009A162E">
              <w:rPr>
                <w:rFonts w:ascii="Arial" w:hAnsi="Arial" w:cs="Arial"/>
                <w:sz w:val="22"/>
                <w:szCs w:val="22"/>
              </w:rPr>
              <w:t xml:space="preserve">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17.2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10.6 </w:t>
            </w:r>
          </w:p>
        </w:tc>
        <w:tc>
          <w:tcPr>
            <w:tcW w:w="1260" w:type="dxa"/>
          </w:tcPr>
          <w:p w:rsidR="00FC5AE8" w:rsidRDefault="006E4562" w:rsidP="007400FA">
            <w:pPr>
              <w:tabs>
                <w:tab w:val="left" w:pos="9360"/>
              </w:tabs>
              <w:jc w:val="center"/>
              <w:rPr>
                <w:rFonts w:ascii="Arial" w:hAnsi="Arial" w:cs="Arial"/>
                <w:sz w:val="22"/>
                <w:szCs w:val="22"/>
              </w:rPr>
            </w:pPr>
            <w:r>
              <w:rPr>
                <w:rFonts w:ascii="Arial" w:hAnsi="Arial" w:cs="Arial"/>
                <w:sz w:val="22"/>
                <w:szCs w:val="22"/>
              </w:rPr>
              <w:t xml:space="preserve">72.2 </w:t>
            </w:r>
          </w:p>
        </w:tc>
      </w:tr>
    </w:tbl>
    <w:p w:rsidR="00FC5AE8" w:rsidRDefault="00FC5AE8" w:rsidP="007400FA">
      <w:pPr>
        <w:tabs>
          <w:tab w:val="left" w:pos="9360"/>
        </w:tabs>
        <w:rPr>
          <w:rFonts w:ascii="Arial" w:hAnsi="Arial" w:cs="Arial"/>
          <w:sz w:val="22"/>
          <w:szCs w:val="22"/>
        </w:rPr>
      </w:pPr>
    </w:p>
    <w:p w:rsidR="009A162E" w:rsidRDefault="009A162E" w:rsidP="007400FA">
      <w:pPr>
        <w:rPr>
          <w:rFonts w:ascii="Arial" w:hAnsi="Arial" w:cs="Arial"/>
          <w:sz w:val="22"/>
          <w:szCs w:val="22"/>
        </w:rPr>
      </w:pPr>
      <w:r>
        <w:rPr>
          <w:rFonts w:ascii="Arial" w:hAnsi="Arial" w:cs="Arial"/>
          <w:sz w:val="22"/>
          <w:szCs w:val="22"/>
        </w:rPr>
        <w:t xml:space="preserve">Investigative reporting remains the number 1 area where stations are putting additional emphasis … although the percentage is down 6 points from four years ago.  But that’s a bit deceptive.  It’s about 60% or more in the top 100 markets … dropping to the low 50s in markets </w:t>
      </w:r>
      <w:r>
        <w:rPr>
          <w:rFonts w:ascii="Arial" w:hAnsi="Arial" w:cs="Arial"/>
          <w:sz w:val="22"/>
          <w:szCs w:val="22"/>
        </w:rPr>
        <w:lastRenderedPageBreak/>
        <w:t xml:space="preserve">101 to 150 and plunging to 34.5% in markets 151+.  Some of the issue appears to revolve around staffing, with staff sizes of 31 and larger markedly higher than smaller staffs.    </w:t>
      </w:r>
    </w:p>
    <w:p w:rsidR="009A162E" w:rsidRDefault="009A162E" w:rsidP="007400FA">
      <w:pPr>
        <w:rPr>
          <w:rFonts w:ascii="Arial" w:hAnsi="Arial" w:cs="Arial"/>
          <w:sz w:val="22"/>
          <w:szCs w:val="22"/>
        </w:rPr>
      </w:pPr>
    </w:p>
    <w:p w:rsidR="009A162E" w:rsidRDefault="009A162E" w:rsidP="007400FA">
      <w:pPr>
        <w:rPr>
          <w:rFonts w:ascii="Arial" w:hAnsi="Arial" w:cs="Arial"/>
          <w:sz w:val="22"/>
          <w:szCs w:val="22"/>
        </w:rPr>
      </w:pPr>
      <w:r>
        <w:rPr>
          <w:rFonts w:ascii="Arial" w:hAnsi="Arial" w:cs="Arial"/>
          <w:sz w:val="22"/>
          <w:szCs w:val="22"/>
        </w:rPr>
        <w:t>Weather lost 5 points from four years ago, but still moved up a notch into #2.  Here, it was hard to find any patterns</w:t>
      </w:r>
      <w:r w:rsidR="00443DD5">
        <w:rPr>
          <w:rFonts w:ascii="Arial" w:hAnsi="Arial" w:cs="Arial"/>
          <w:sz w:val="22"/>
          <w:szCs w:val="22"/>
        </w:rPr>
        <w:t>.  The smallest markets were less likely to place more emphasis on weather than any other market size, but otherwise there was no correlation by market.  The smallest two newsroom groups were less likely to increase emphasis on weather, but</w:t>
      </w:r>
      <w:r>
        <w:rPr>
          <w:rFonts w:ascii="Arial" w:hAnsi="Arial" w:cs="Arial"/>
          <w:sz w:val="22"/>
          <w:szCs w:val="22"/>
        </w:rPr>
        <w:t xml:space="preserve"> </w:t>
      </w:r>
      <w:r w:rsidR="00443DD5">
        <w:rPr>
          <w:rFonts w:ascii="Arial" w:hAnsi="Arial" w:cs="Arial"/>
          <w:sz w:val="22"/>
          <w:szCs w:val="22"/>
        </w:rPr>
        <w:t>emphasis didn’t grow with size.  Other commercial was lower than the big 4 affiliates.  Stations in the West were markedly lower than all other areas, which is a little surprising given that the Camp Fire, for instance, took place on the early side of data gathering.</w:t>
      </w:r>
    </w:p>
    <w:p w:rsidR="00443DD5" w:rsidRDefault="00443DD5" w:rsidP="007400FA">
      <w:pPr>
        <w:rPr>
          <w:rFonts w:ascii="Arial" w:hAnsi="Arial" w:cs="Arial"/>
          <w:sz w:val="22"/>
          <w:szCs w:val="22"/>
        </w:rPr>
      </w:pPr>
    </w:p>
    <w:p w:rsidR="00443DD5" w:rsidRDefault="00443DD5" w:rsidP="007400FA">
      <w:pPr>
        <w:rPr>
          <w:rFonts w:ascii="Arial" w:hAnsi="Arial" w:cs="Arial"/>
          <w:sz w:val="22"/>
          <w:szCs w:val="22"/>
        </w:rPr>
      </w:pPr>
      <w:r>
        <w:rPr>
          <w:rFonts w:ascii="Arial" w:hAnsi="Arial" w:cs="Arial"/>
          <w:sz w:val="22"/>
          <w:szCs w:val="22"/>
        </w:rPr>
        <w:t>Live reporting dropped 8 points from four years ago and slid from second to third place.  Live reporting would have dropped even more had it not been for strong increases among the smallest markets and the smallest newsrooms.</w:t>
      </w:r>
    </w:p>
    <w:p w:rsidR="00443DD5" w:rsidRDefault="00443DD5" w:rsidP="007400FA">
      <w:pPr>
        <w:rPr>
          <w:rFonts w:ascii="Arial" w:hAnsi="Arial" w:cs="Arial"/>
          <w:sz w:val="22"/>
          <w:szCs w:val="22"/>
        </w:rPr>
      </w:pPr>
    </w:p>
    <w:p w:rsidR="00443DD5" w:rsidRDefault="00443DD5" w:rsidP="007400FA">
      <w:pPr>
        <w:rPr>
          <w:rFonts w:ascii="Arial" w:hAnsi="Arial" w:cs="Arial"/>
          <w:sz w:val="22"/>
          <w:szCs w:val="22"/>
        </w:rPr>
      </w:pPr>
      <w:r>
        <w:rPr>
          <w:rFonts w:ascii="Arial" w:hAnsi="Arial" w:cs="Arial"/>
          <w:sz w:val="22"/>
          <w:szCs w:val="22"/>
        </w:rPr>
        <w:t xml:space="preserve">Politics/government rose almost 7 points from four years ago but remained in fourth place.  </w:t>
      </w:r>
      <w:r w:rsidR="005A5DCD">
        <w:rPr>
          <w:rFonts w:ascii="Arial" w:hAnsi="Arial" w:cs="Arial"/>
          <w:sz w:val="22"/>
          <w:szCs w:val="22"/>
        </w:rPr>
        <w:t>There was a lot more interest in the midterms this time around than four years ago.  The smallest newsrooms, other commercial and non-commercial led the way this time around.</w:t>
      </w:r>
    </w:p>
    <w:p w:rsidR="005A5DCD" w:rsidRDefault="005A5DCD" w:rsidP="007400FA">
      <w:pPr>
        <w:rPr>
          <w:rFonts w:ascii="Arial" w:hAnsi="Arial" w:cs="Arial"/>
          <w:sz w:val="22"/>
          <w:szCs w:val="22"/>
        </w:rPr>
      </w:pPr>
    </w:p>
    <w:p w:rsidR="005A5DCD" w:rsidRDefault="005A5DCD" w:rsidP="007400FA">
      <w:pPr>
        <w:rPr>
          <w:rFonts w:ascii="Arial" w:hAnsi="Arial" w:cs="Arial"/>
          <w:sz w:val="22"/>
          <w:szCs w:val="22"/>
        </w:rPr>
      </w:pPr>
      <w:r>
        <w:rPr>
          <w:rFonts w:ascii="Arial" w:hAnsi="Arial" w:cs="Arial"/>
          <w:sz w:val="22"/>
          <w:szCs w:val="22"/>
        </w:rPr>
        <w:t>Beat reporting generally dropped three points but stayed in fifth place.  Patterns here were erratic, but, curiously, Fox affiliates were way less likely to place greater emphasis on beat reporting than any other group in any other category.</w:t>
      </w:r>
    </w:p>
    <w:p w:rsidR="005A5DCD" w:rsidRDefault="005A5DCD" w:rsidP="007400FA">
      <w:pPr>
        <w:rPr>
          <w:rFonts w:ascii="Arial" w:hAnsi="Arial" w:cs="Arial"/>
          <w:sz w:val="22"/>
          <w:szCs w:val="22"/>
        </w:rPr>
      </w:pPr>
    </w:p>
    <w:p w:rsidR="005A5DCD" w:rsidRDefault="005A5DCD" w:rsidP="007400FA">
      <w:pPr>
        <w:rPr>
          <w:rFonts w:ascii="Arial" w:hAnsi="Arial" w:cs="Arial"/>
          <w:sz w:val="22"/>
          <w:szCs w:val="22"/>
        </w:rPr>
      </w:pPr>
      <w:r>
        <w:rPr>
          <w:rFonts w:ascii="Arial" w:hAnsi="Arial" w:cs="Arial"/>
          <w:sz w:val="22"/>
          <w:szCs w:val="22"/>
        </w:rPr>
        <w:t>Consumer issues dropped 6 points and stayed in sixth place.  Top 50 markets were much more likely to emphasize consumer issues than smaller markets.  Emphasis generally decreased with staff size, and stations in the Midwest were markedly lower than all others.</w:t>
      </w:r>
    </w:p>
    <w:p w:rsidR="005A5DCD" w:rsidRDefault="005A5DCD" w:rsidP="007400FA">
      <w:pPr>
        <w:rPr>
          <w:rFonts w:ascii="Arial" w:hAnsi="Arial" w:cs="Arial"/>
          <w:sz w:val="22"/>
          <w:szCs w:val="22"/>
        </w:rPr>
      </w:pPr>
    </w:p>
    <w:p w:rsidR="005A5DCD" w:rsidRDefault="005A5DCD" w:rsidP="007400FA">
      <w:pPr>
        <w:rPr>
          <w:rFonts w:ascii="Arial" w:hAnsi="Arial" w:cs="Arial"/>
          <w:sz w:val="22"/>
          <w:szCs w:val="22"/>
        </w:rPr>
      </w:pPr>
      <w:r>
        <w:rPr>
          <w:rFonts w:ascii="Arial" w:hAnsi="Arial" w:cs="Arial"/>
          <w:sz w:val="22"/>
          <w:szCs w:val="22"/>
        </w:rPr>
        <w:t>Traffic dropped 4 points but moved up to seventh place</w:t>
      </w:r>
      <w:r w:rsidR="007400FA">
        <w:rPr>
          <w:rFonts w:ascii="Arial" w:hAnsi="Arial" w:cs="Arial"/>
          <w:sz w:val="22"/>
          <w:szCs w:val="22"/>
        </w:rPr>
        <w:t xml:space="preserve"> </w:t>
      </w:r>
      <w:r>
        <w:rPr>
          <w:rFonts w:ascii="Arial" w:hAnsi="Arial" w:cs="Arial"/>
          <w:sz w:val="22"/>
          <w:szCs w:val="22"/>
        </w:rPr>
        <w:t>as other categories dropped even more.  Interestingly, market size made little difference here, but stations with smaller staffs were less likely to emphasize traffic.  Stations in the South were much more likely to increase emphasis on traffic and stations in the Midwest were less likely.</w:t>
      </w:r>
    </w:p>
    <w:p w:rsidR="005A5DCD" w:rsidRDefault="005A5DCD" w:rsidP="007400FA">
      <w:pPr>
        <w:rPr>
          <w:rFonts w:ascii="Arial" w:hAnsi="Arial" w:cs="Arial"/>
          <w:sz w:val="22"/>
          <w:szCs w:val="22"/>
        </w:rPr>
      </w:pPr>
    </w:p>
    <w:p w:rsidR="005A5DCD" w:rsidRDefault="0090764E" w:rsidP="007400FA">
      <w:pPr>
        <w:rPr>
          <w:rFonts w:ascii="Arial" w:hAnsi="Arial" w:cs="Arial"/>
          <w:sz w:val="22"/>
          <w:szCs w:val="22"/>
        </w:rPr>
      </w:pPr>
      <w:r>
        <w:rPr>
          <w:rFonts w:ascii="Arial" w:hAnsi="Arial" w:cs="Arial"/>
          <w:sz w:val="22"/>
          <w:szCs w:val="22"/>
        </w:rPr>
        <w:t xml:space="preserve">Sports dropped 6 points and remained in eighth place.  More significantly, however, sports </w:t>
      </w:r>
      <w:proofErr w:type="gramStart"/>
      <w:r>
        <w:rPr>
          <w:rFonts w:ascii="Arial" w:hAnsi="Arial" w:cs="Arial"/>
          <w:sz w:val="22"/>
          <w:szCs w:val="22"/>
        </w:rPr>
        <w:t>was</w:t>
      </w:r>
      <w:proofErr w:type="gramEnd"/>
      <w:r>
        <w:rPr>
          <w:rFonts w:ascii="Arial" w:hAnsi="Arial" w:cs="Arial"/>
          <w:sz w:val="22"/>
          <w:szCs w:val="22"/>
        </w:rPr>
        <w:t xml:space="preserve"> the area most likely to see a decrease in emphasis – by a more than two to one margin.  And those high marks for de-emphasis were pretty much across the board: market size, staff size, affiliation and geography.  The one exception was at stations with news staffs o</w:t>
      </w:r>
      <w:r w:rsidR="007400FA">
        <w:rPr>
          <w:rFonts w:ascii="Arial" w:hAnsi="Arial" w:cs="Arial"/>
          <w:sz w:val="22"/>
          <w:szCs w:val="22"/>
        </w:rPr>
        <w:t>f</w:t>
      </w:r>
      <w:r>
        <w:rPr>
          <w:rFonts w:ascii="Arial" w:hAnsi="Arial" w:cs="Arial"/>
          <w:sz w:val="22"/>
          <w:szCs w:val="22"/>
        </w:rPr>
        <w:t xml:space="preserve"> 1 to 10 people.</w:t>
      </w:r>
    </w:p>
    <w:p w:rsidR="0090764E" w:rsidRDefault="0090764E" w:rsidP="007400FA">
      <w:pPr>
        <w:rPr>
          <w:rFonts w:ascii="Arial" w:hAnsi="Arial" w:cs="Arial"/>
          <w:sz w:val="22"/>
          <w:szCs w:val="22"/>
        </w:rPr>
      </w:pPr>
    </w:p>
    <w:p w:rsidR="0090764E" w:rsidRDefault="0090764E" w:rsidP="007400FA">
      <w:pPr>
        <w:rPr>
          <w:rFonts w:ascii="Arial" w:hAnsi="Arial" w:cs="Arial"/>
          <w:sz w:val="22"/>
          <w:szCs w:val="22"/>
        </w:rPr>
      </w:pPr>
      <w:r>
        <w:rPr>
          <w:rFonts w:ascii="Arial" w:hAnsi="Arial" w:cs="Arial"/>
          <w:sz w:val="22"/>
          <w:szCs w:val="22"/>
        </w:rPr>
        <w:t xml:space="preserve">Education dropped by more than 7 points and fell from seventh to ninth (last) place.   There was no </w:t>
      </w:r>
      <w:proofErr w:type="gramStart"/>
      <w:r>
        <w:rPr>
          <w:rFonts w:ascii="Arial" w:hAnsi="Arial" w:cs="Arial"/>
          <w:sz w:val="22"/>
          <w:szCs w:val="22"/>
        </w:rPr>
        <w:t>particular pattern</w:t>
      </w:r>
      <w:proofErr w:type="gramEnd"/>
      <w:r>
        <w:rPr>
          <w:rFonts w:ascii="Arial" w:hAnsi="Arial" w:cs="Arial"/>
          <w:sz w:val="22"/>
          <w:szCs w:val="22"/>
        </w:rPr>
        <w:t xml:space="preserve"> here, although stations in the Midwest were much less likely to increase emphasis on education, and stations in the Northeast weren’t far behind that.</w:t>
      </w:r>
    </w:p>
    <w:p w:rsidR="009A162E" w:rsidRDefault="009A162E" w:rsidP="007400FA">
      <w:pPr>
        <w:rPr>
          <w:rFonts w:ascii="Arial" w:hAnsi="Arial" w:cs="Arial"/>
          <w:sz w:val="22"/>
          <w:szCs w:val="22"/>
        </w:rPr>
      </w:pPr>
    </w:p>
    <w:p w:rsidR="005C76DE" w:rsidRDefault="005C76DE" w:rsidP="007400FA">
      <w:pPr>
        <w:rPr>
          <w:rFonts w:ascii="Arial" w:hAnsi="Arial" w:cs="Arial"/>
          <w:sz w:val="22"/>
          <w:szCs w:val="22"/>
        </w:rPr>
      </w:pPr>
      <w:r>
        <w:rPr>
          <w:rFonts w:ascii="Arial" w:hAnsi="Arial" w:cs="Arial"/>
          <w:sz w:val="22"/>
          <w:szCs w:val="22"/>
        </w:rPr>
        <w:t>News directors could add other topic areas to the list, but few did so.  Of the handful of other topics, only immigration has more than 2 votes.</w:t>
      </w:r>
    </w:p>
    <w:p w:rsidR="005C76DE" w:rsidRDefault="005C76DE" w:rsidP="007400FA">
      <w:pPr>
        <w:rPr>
          <w:rFonts w:ascii="Arial" w:hAnsi="Arial" w:cs="Arial"/>
          <w:sz w:val="22"/>
          <w:szCs w:val="22"/>
        </w:rPr>
      </w:pPr>
    </w:p>
    <w:p w:rsidR="005C76DE" w:rsidRDefault="005C76DE" w:rsidP="007400FA">
      <w:pPr>
        <w:rPr>
          <w:rFonts w:ascii="Arial" w:hAnsi="Arial" w:cs="Arial"/>
          <w:sz w:val="22"/>
          <w:szCs w:val="22"/>
        </w:rPr>
      </w:pPr>
      <w:r>
        <w:rPr>
          <w:rFonts w:ascii="Arial" w:hAnsi="Arial" w:cs="Arial"/>
          <w:sz w:val="22"/>
          <w:szCs w:val="22"/>
        </w:rPr>
        <w:t>The takeaway is that, overall, other than more investigative, if stations are experimenting with new approaches in local news, those efforts don’t include significant changes in the subject areas that they cover.</w:t>
      </w:r>
    </w:p>
    <w:p w:rsidR="005C76DE" w:rsidRDefault="005C76DE" w:rsidP="007400FA">
      <w:pPr>
        <w:rPr>
          <w:rFonts w:ascii="Arial" w:hAnsi="Arial" w:cs="Arial"/>
          <w:sz w:val="22"/>
          <w:szCs w:val="22"/>
        </w:rPr>
      </w:pPr>
    </w:p>
    <w:p w:rsidR="00FC5AE8" w:rsidRDefault="00FC5AE8" w:rsidP="007400FA">
      <w:pPr>
        <w:tabs>
          <w:tab w:val="left" w:pos="9360"/>
        </w:tabs>
        <w:rPr>
          <w:rFonts w:ascii="Arial" w:hAnsi="Arial" w:cs="Arial"/>
          <w:sz w:val="22"/>
          <w:szCs w:val="22"/>
        </w:rPr>
      </w:pPr>
      <w:r>
        <w:rPr>
          <w:rFonts w:ascii="Arial" w:hAnsi="Arial" w:cs="Arial"/>
          <w:sz w:val="22"/>
          <w:szCs w:val="22"/>
        </w:rPr>
        <w:t xml:space="preserve">I don't get asked about changing emphasis of coverage among radio stations, but since I asked it for TV, I decided to ask </w:t>
      </w:r>
      <w:r w:rsidR="00F41880">
        <w:rPr>
          <w:rFonts w:ascii="Arial" w:hAnsi="Arial" w:cs="Arial"/>
          <w:sz w:val="22"/>
          <w:szCs w:val="22"/>
        </w:rPr>
        <w:t xml:space="preserve">and update </w:t>
      </w:r>
      <w:r>
        <w:rPr>
          <w:rFonts w:ascii="Arial" w:hAnsi="Arial" w:cs="Arial"/>
          <w:sz w:val="22"/>
          <w:szCs w:val="22"/>
        </w:rPr>
        <w:t>the same question in radio.</w:t>
      </w:r>
    </w:p>
    <w:p w:rsidR="00FC5AE8" w:rsidRDefault="00FC5AE8" w:rsidP="007400FA">
      <w:pPr>
        <w:tabs>
          <w:tab w:val="left" w:pos="9360"/>
        </w:tabs>
        <w:rPr>
          <w:rFonts w:ascii="Arial" w:hAnsi="Arial" w:cs="Arial"/>
          <w:sz w:val="22"/>
          <w:szCs w:val="22"/>
        </w:rPr>
      </w:pPr>
    </w:p>
    <w:p w:rsidR="00FC5AE8" w:rsidRPr="00F41880" w:rsidRDefault="00383E4A" w:rsidP="007400FA">
      <w:pPr>
        <w:tabs>
          <w:tab w:val="left" w:pos="9360"/>
        </w:tabs>
        <w:rPr>
          <w:rFonts w:ascii="Arial" w:hAnsi="Arial" w:cs="Arial"/>
          <w:b/>
          <w:sz w:val="22"/>
          <w:szCs w:val="22"/>
        </w:rPr>
      </w:pPr>
      <w:r w:rsidRPr="00F41880">
        <w:rPr>
          <w:rFonts w:ascii="Arial" w:hAnsi="Arial" w:cs="Arial"/>
          <w:b/>
          <w:sz w:val="22"/>
          <w:szCs w:val="22"/>
        </w:rPr>
        <w:lastRenderedPageBreak/>
        <w:t xml:space="preserve">Radio: </w:t>
      </w:r>
      <w:r w:rsidR="001E33F5" w:rsidRPr="00F41880">
        <w:rPr>
          <w:rFonts w:ascii="Arial" w:hAnsi="Arial" w:cs="Arial"/>
          <w:b/>
          <w:sz w:val="22"/>
          <w:szCs w:val="22"/>
        </w:rPr>
        <w:t xml:space="preserve">2019 - </w:t>
      </w:r>
      <w:r w:rsidR="00FC5AE8" w:rsidRPr="00F41880">
        <w:rPr>
          <w:rFonts w:ascii="Arial" w:hAnsi="Arial" w:cs="Arial"/>
          <w:b/>
          <w:sz w:val="22"/>
          <w:szCs w:val="22"/>
        </w:rPr>
        <w:t>Compared to a year ago, are you placing more, less or the same emphasis or resources on:</w:t>
      </w:r>
    </w:p>
    <w:tbl>
      <w:tblPr>
        <w:tblStyle w:val="TableGrid"/>
        <w:tblW w:w="0" w:type="auto"/>
        <w:tblLook w:val="04A0" w:firstRow="1" w:lastRow="0" w:firstColumn="1" w:lastColumn="0" w:noHBand="0" w:noVBand="1"/>
      </w:tblPr>
      <w:tblGrid>
        <w:gridCol w:w="3348"/>
        <w:gridCol w:w="1440"/>
        <w:gridCol w:w="1350"/>
        <w:gridCol w:w="1350"/>
      </w:tblGrid>
      <w:tr w:rsidR="00FC5AE8" w:rsidTr="00F236C7">
        <w:tc>
          <w:tcPr>
            <w:tcW w:w="3348" w:type="dxa"/>
          </w:tcPr>
          <w:p w:rsidR="00FC5AE8" w:rsidRDefault="00FC5AE8" w:rsidP="007400FA">
            <w:pPr>
              <w:tabs>
                <w:tab w:val="left" w:pos="9360"/>
              </w:tabs>
              <w:rPr>
                <w:rFonts w:ascii="Arial" w:hAnsi="Arial" w:cs="Arial"/>
                <w:sz w:val="22"/>
                <w:szCs w:val="22"/>
              </w:rPr>
            </w:pPr>
          </w:p>
        </w:tc>
        <w:tc>
          <w:tcPr>
            <w:tcW w:w="144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More</w:t>
            </w:r>
          </w:p>
        </w:tc>
        <w:tc>
          <w:tcPr>
            <w:tcW w:w="135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Less</w:t>
            </w:r>
          </w:p>
        </w:tc>
        <w:tc>
          <w:tcPr>
            <w:tcW w:w="1350" w:type="dxa"/>
          </w:tcPr>
          <w:p w:rsidR="00FC5AE8" w:rsidRDefault="00FC5AE8" w:rsidP="007400FA">
            <w:pPr>
              <w:tabs>
                <w:tab w:val="left" w:pos="9360"/>
              </w:tabs>
              <w:jc w:val="center"/>
              <w:rPr>
                <w:rFonts w:ascii="Arial" w:hAnsi="Arial" w:cs="Arial"/>
                <w:sz w:val="22"/>
                <w:szCs w:val="22"/>
              </w:rPr>
            </w:pPr>
            <w:r>
              <w:rPr>
                <w:rFonts w:ascii="Arial" w:hAnsi="Arial" w:cs="Arial"/>
                <w:sz w:val="22"/>
                <w:szCs w:val="22"/>
              </w:rPr>
              <w:t>Same</w:t>
            </w:r>
          </w:p>
        </w:tc>
      </w:tr>
      <w:tr w:rsidR="008C7CD7" w:rsidTr="00F236C7">
        <w:tc>
          <w:tcPr>
            <w:tcW w:w="3348" w:type="dxa"/>
          </w:tcPr>
          <w:p w:rsidR="008C7CD7" w:rsidRDefault="008C7CD7" w:rsidP="007400FA">
            <w:pPr>
              <w:tabs>
                <w:tab w:val="left" w:pos="9360"/>
              </w:tabs>
              <w:rPr>
                <w:rFonts w:ascii="Arial" w:hAnsi="Arial" w:cs="Arial"/>
                <w:sz w:val="22"/>
                <w:szCs w:val="22"/>
              </w:rPr>
            </w:pPr>
          </w:p>
        </w:tc>
        <w:tc>
          <w:tcPr>
            <w:tcW w:w="1440" w:type="dxa"/>
          </w:tcPr>
          <w:p w:rsidR="008C7CD7" w:rsidRDefault="008C7CD7" w:rsidP="007400FA">
            <w:pPr>
              <w:tabs>
                <w:tab w:val="left" w:pos="9360"/>
              </w:tabs>
              <w:jc w:val="center"/>
              <w:rPr>
                <w:rFonts w:ascii="Arial" w:hAnsi="Arial" w:cs="Arial"/>
                <w:sz w:val="22"/>
                <w:szCs w:val="22"/>
              </w:rPr>
            </w:pPr>
          </w:p>
        </w:tc>
        <w:tc>
          <w:tcPr>
            <w:tcW w:w="1350" w:type="dxa"/>
          </w:tcPr>
          <w:p w:rsidR="008C7CD7" w:rsidRDefault="008C7CD7" w:rsidP="007400FA">
            <w:pPr>
              <w:tabs>
                <w:tab w:val="left" w:pos="9360"/>
              </w:tabs>
              <w:jc w:val="center"/>
              <w:rPr>
                <w:rFonts w:ascii="Arial" w:hAnsi="Arial" w:cs="Arial"/>
                <w:sz w:val="22"/>
                <w:szCs w:val="22"/>
              </w:rPr>
            </w:pPr>
          </w:p>
        </w:tc>
        <w:tc>
          <w:tcPr>
            <w:tcW w:w="1350" w:type="dxa"/>
          </w:tcPr>
          <w:p w:rsidR="008C7CD7" w:rsidRDefault="008C7CD7" w:rsidP="007400FA">
            <w:pPr>
              <w:tabs>
                <w:tab w:val="left" w:pos="9360"/>
              </w:tabs>
              <w:jc w:val="center"/>
              <w:rPr>
                <w:rFonts w:ascii="Arial" w:hAnsi="Arial" w:cs="Arial"/>
                <w:sz w:val="22"/>
                <w:szCs w:val="22"/>
              </w:rPr>
            </w:pPr>
          </w:p>
        </w:tc>
      </w:tr>
      <w:tr w:rsidR="00F236C7" w:rsidTr="00E07AF2">
        <w:tc>
          <w:tcPr>
            <w:tcW w:w="3348" w:type="dxa"/>
          </w:tcPr>
          <w:p w:rsidR="00F236C7" w:rsidRDefault="00F236C7" w:rsidP="007400FA">
            <w:pPr>
              <w:tabs>
                <w:tab w:val="left" w:pos="9360"/>
              </w:tabs>
              <w:rPr>
                <w:rFonts w:ascii="Arial" w:hAnsi="Arial" w:cs="Arial"/>
                <w:sz w:val="22"/>
                <w:szCs w:val="22"/>
              </w:rPr>
            </w:pPr>
            <w:r>
              <w:rPr>
                <w:rFonts w:ascii="Arial" w:hAnsi="Arial" w:cs="Arial"/>
                <w:sz w:val="22"/>
                <w:szCs w:val="22"/>
              </w:rPr>
              <w:t>Politics/government</w:t>
            </w:r>
          </w:p>
        </w:tc>
        <w:tc>
          <w:tcPr>
            <w:tcW w:w="1440" w:type="dxa"/>
          </w:tcPr>
          <w:p w:rsidR="00F236C7" w:rsidRDefault="00DE028A" w:rsidP="007400FA">
            <w:pPr>
              <w:tabs>
                <w:tab w:val="left" w:pos="9360"/>
              </w:tabs>
              <w:jc w:val="center"/>
              <w:rPr>
                <w:rFonts w:ascii="Arial" w:hAnsi="Arial" w:cs="Arial"/>
                <w:sz w:val="22"/>
                <w:szCs w:val="22"/>
              </w:rPr>
            </w:pPr>
            <w:r>
              <w:rPr>
                <w:rFonts w:ascii="Arial" w:hAnsi="Arial" w:cs="Arial"/>
                <w:sz w:val="22"/>
                <w:szCs w:val="22"/>
              </w:rPr>
              <w:t>32.3</w:t>
            </w:r>
            <w:r w:rsidR="00B10B11">
              <w:rPr>
                <w:rFonts w:ascii="Arial" w:hAnsi="Arial" w:cs="Arial"/>
                <w:sz w:val="22"/>
                <w:szCs w:val="22"/>
              </w:rPr>
              <w:t>%</w:t>
            </w:r>
            <w:r>
              <w:rPr>
                <w:rFonts w:ascii="Arial" w:hAnsi="Arial" w:cs="Arial"/>
                <w:sz w:val="22"/>
                <w:szCs w:val="22"/>
              </w:rPr>
              <w:t xml:space="preserve"> </w:t>
            </w:r>
          </w:p>
        </w:tc>
        <w:tc>
          <w:tcPr>
            <w:tcW w:w="1350" w:type="dxa"/>
          </w:tcPr>
          <w:p w:rsidR="00F236C7" w:rsidRDefault="00DE028A" w:rsidP="007400FA">
            <w:pPr>
              <w:tabs>
                <w:tab w:val="left" w:pos="9360"/>
              </w:tabs>
              <w:jc w:val="center"/>
              <w:rPr>
                <w:rFonts w:ascii="Arial" w:hAnsi="Arial" w:cs="Arial"/>
                <w:sz w:val="22"/>
                <w:szCs w:val="22"/>
              </w:rPr>
            </w:pPr>
            <w:r>
              <w:rPr>
                <w:rFonts w:ascii="Arial" w:hAnsi="Arial" w:cs="Arial"/>
                <w:sz w:val="22"/>
                <w:szCs w:val="22"/>
              </w:rPr>
              <w:t>3</w:t>
            </w:r>
            <w:r w:rsidR="00B10B11">
              <w:rPr>
                <w:rFonts w:ascii="Arial" w:hAnsi="Arial" w:cs="Arial"/>
                <w:sz w:val="22"/>
                <w:szCs w:val="22"/>
              </w:rPr>
              <w:t>%</w:t>
            </w:r>
          </w:p>
        </w:tc>
        <w:tc>
          <w:tcPr>
            <w:tcW w:w="1350" w:type="dxa"/>
          </w:tcPr>
          <w:p w:rsidR="00F236C7" w:rsidRDefault="00DE028A" w:rsidP="007400FA">
            <w:pPr>
              <w:tabs>
                <w:tab w:val="left" w:pos="9360"/>
              </w:tabs>
              <w:jc w:val="center"/>
              <w:rPr>
                <w:rFonts w:ascii="Arial" w:hAnsi="Arial" w:cs="Arial"/>
                <w:sz w:val="22"/>
                <w:szCs w:val="22"/>
              </w:rPr>
            </w:pPr>
            <w:r>
              <w:rPr>
                <w:rFonts w:ascii="Arial" w:hAnsi="Arial" w:cs="Arial"/>
                <w:sz w:val="22"/>
                <w:szCs w:val="22"/>
              </w:rPr>
              <w:t>64.7</w:t>
            </w:r>
            <w:r w:rsidR="00F236C7">
              <w:rPr>
                <w:rFonts w:ascii="Arial" w:hAnsi="Arial" w:cs="Arial"/>
                <w:sz w:val="22"/>
                <w:szCs w:val="22"/>
              </w:rPr>
              <w:t>%</w:t>
            </w:r>
          </w:p>
        </w:tc>
      </w:tr>
      <w:tr w:rsidR="001E33F5" w:rsidTr="00B91137">
        <w:tc>
          <w:tcPr>
            <w:tcW w:w="3348" w:type="dxa"/>
          </w:tcPr>
          <w:p w:rsidR="001E33F5" w:rsidRDefault="001E33F5" w:rsidP="007400FA">
            <w:pPr>
              <w:tabs>
                <w:tab w:val="left" w:pos="9360"/>
              </w:tabs>
              <w:rPr>
                <w:rFonts w:ascii="Arial" w:hAnsi="Arial" w:cs="Arial"/>
                <w:sz w:val="22"/>
                <w:szCs w:val="22"/>
              </w:rPr>
            </w:pPr>
            <w:r>
              <w:rPr>
                <w:rFonts w:ascii="Arial" w:hAnsi="Arial" w:cs="Arial"/>
                <w:sz w:val="22"/>
                <w:szCs w:val="22"/>
              </w:rPr>
              <w:t>Beat reporting generally</w:t>
            </w:r>
          </w:p>
        </w:tc>
        <w:tc>
          <w:tcPr>
            <w:tcW w:w="144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21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6.5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72.5 </w:t>
            </w:r>
          </w:p>
        </w:tc>
      </w:tr>
      <w:tr w:rsidR="001E33F5" w:rsidTr="00B91137">
        <w:tc>
          <w:tcPr>
            <w:tcW w:w="3348" w:type="dxa"/>
          </w:tcPr>
          <w:p w:rsidR="001E33F5" w:rsidRDefault="001E33F5" w:rsidP="007400FA">
            <w:pPr>
              <w:tabs>
                <w:tab w:val="left" w:pos="9360"/>
              </w:tabs>
              <w:rPr>
                <w:rFonts w:ascii="Arial" w:hAnsi="Arial" w:cs="Arial"/>
                <w:sz w:val="22"/>
                <w:szCs w:val="22"/>
              </w:rPr>
            </w:pPr>
            <w:r>
              <w:rPr>
                <w:rFonts w:ascii="Arial" w:hAnsi="Arial" w:cs="Arial"/>
                <w:sz w:val="22"/>
                <w:szCs w:val="22"/>
              </w:rPr>
              <w:t>Education</w:t>
            </w:r>
          </w:p>
        </w:tc>
        <w:tc>
          <w:tcPr>
            <w:tcW w:w="144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19.8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2.4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77.7 </w:t>
            </w:r>
          </w:p>
        </w:tc>
      </w:tr>
      <w:tr w:rsidR="001E33F5" w:rsidTr="00B91137">
        <w:tc>
          <w:tcPr>
            <w:tcW w:w="3348" w:type="dxa"/>
          </w:tcPr>
          <w:p w:rsidR="001E33F5" w:rsidRDefault="001E33F5" w:rsidP="007400FA">
            <w:pPr>
              <w:tabs>
                <w:tab w:val="left" w:pos="9360"/>
              </w:tabs>
              <w:rPr>
                <w:rFonts w:ascii="Arial" w:hAnsi="Arial" w:cs="Arial"/>
                <w:sz w:val="22"/>
                <w:szCs w:val="22"/>
              </w:rPr>
            </w:pPr>
            <w:r>
              <w:rPr>
                <w:rFonts w:ascii="Arial" w:hAnsi="Arial" w:cs="Arial"/>
                <w:sz w:val="22"/>
                <w:szCs w:val="22"/>
              </w:rPr>
              <w:t>Sports</w:t>
            </w:r>
          </w:p>
        </w:tc>
        <w:tc>
          <w:tcPr>
            <w:tcW w:w="144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18.1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8.1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73.9 </w:t>
            </w:r>
          </w:p>
        </w:tc>
      </w:tr>
      <w:tr w:rsidR="001E33F5" w:rsidTr="00B91137">
        <w:tc>
          <w:tcPr>
            <w:tcW w:w="3348" w:type="dxa"/>
          </w:tcPr>
          <w:p w:rsidR="001E33F5" w:rsidRDefault="001E33F5" w:rsidP="007400FA">
            <w:pPr>
              <w:tabs>
                <w:tab w:val="left" w:pos="9360"/>
              </w:tabs>
              <w:rPr>
                <w:rFonts w:ascii="Arial" w:hAnsi="Arial" w:cs="Arial"/>
                <w:sz w:val="22"/>
                <w:szCs w:val="22"/>
              </w:rPr>
            </w:pPr>
            <w:r>
              <w:rPr>
                <w:rFonts w:ascii="Arial" w:hAnsi="Arial" w:cs="Arial"/>
                <w:sz w:val="22"/>
                <w:szCs w:val="22"/>
              </w:rPr>
              <w:t>Live reporting</w:t>
            </w:r>
          </w:p>
        </w:tc>
        <w:tc>
          <w:tcPr>
            <w:tcW w:w="144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18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6.8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75.1 </w:t>
            </w:r>
          </w:p>
        </w:tc>
      </w:tr>
      <w:tr w:rsidR="001E33F5" w:rsidTr="00B91137">
        <w:tc>
          <w:tcPr>
            <w:tcW w:w="3348" w:type="dxa"/>
          </w:tcPr>
          <w:p w:rsidR="001E33F5" w:rsidRDefault="001E33F5" w:rsidP="007400FA">
            <w:pPr>
              <w:tabs>
                <w:tab w:val="left" w:pos="9360"/>
              </w:tabs>
              <w:rPr>
                <w:rFonts w:ascii="Arial" w:hAnsi="Arial" w:cs="Arial"/>
                <w:sz w:val="22"/>
                <w:szCs w:val="22"/>
              </w:rPr>
            </w:pPr>
            <w:r>
              <w:rPr>
                <w:rFonts w:ascii="Arial" w:hAnsi="Arial" w:cs="Arial"/>
                <w:sz w:val="22"/>
                <w:szCs w:val="22"/>
              </w:rPr>
              <w:t>Investigative reporting</w:t>
            </w:r>
          </w:p>
        </w:tc>
        <w:tc>
          <w:tcPr>
            <w:tcW w:w="144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16.6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8.6 </w:t>
            </w:r>
          </w:p>
        </w:tc>
        <w:tc>
          <w:tcPr>
            <w:tcW w:w="1350" w:type="dxa"/>
          </w:tcPr>
          <w:p w:rsidR="001E33F5" w:rsidRDefault="001E33F5" w:rsidP="007400FA">
            <w:pPr>
              <w:tabs>
                <w:tab w:val="left" w:pos="9360"/>
              </w:tabs>
              <w:jc w:val="center"/>
              <w:rPr>
                <w:rFonts w:ascii="Arial" w:hAnsi="Arial" w:cs="Arial"/>
                <w:sz w:val="22"/>
                <w:szCs w:val="22"/>
              </w:rPr>
            </w:pPr>
            <w:r>
              <w:rPr>
                <w:rFonts w:ascii="Arial" w:hAnsi="Arial" w:cs="Arial"/>
                <w:sz w:val="22"/>
                <w:szCs w:val="22"/>
              </w:rPr>
              <w:t xml:space="preserve">74.9 </w:t>
            </w:r>
          </w:p>
        </w:tc>
      </w:tr>
      <w:tr w:rsidR="00F236C7" w:rsidTr="00E07AF2">
        <w:tc>
          <w:tcPr>
            <w:tcW w:w="3348" w:type="dxa"/>
          </w:tcPr>
          <w:p w:rsidR="00F236C7" w:rsidRDefault="00F236C7" w:rsidP="007400FA">
            <w:pPr>
              <w:tabs>
                <w:tab w:val="left" w:pos="9360"/>
              </w:tabs>
              <w:rPr>
                <w:rFonts w:ascii="Arial" w:hAnsi="Arial" w:cs="Arial"/>
                <w:sz w:val="22"/>
                <w:szCs w:val="22"/>
              </w:rPr>
            </w:pPr>
            <w:r>
              <w:rPr>
                <w:rFonts w:ascii="Arial" w:hAnsi="Arial" w:cs="Arial"/>
                <w:sz w:val="22"/>
                <w:szCs w:val="22"/>
              </w:rPr>
              <w:t>Weather</w:t>
            </w:r>
          </w:p>
        </w:tc>
        <w:tc>
          <w:tcPr>
            <w:tcW w:w="1440" w:type="dxa"/>
          </w:tcPr>
          <w:p w:rsidR="00F236C7" w:rsidRDefault="003E5815" w:rsidP="007400FA">
            <w:pPr>
              <w:tabs>
                <w:tab w:val="left" w:pos="9360"/>
              </w:tabs>
              <w:jc w:val="center"/>
              <w:rPr>
                <w:rFonts w:ascii="Arial" w:hAnsi="Arial" w:cs="Arial"/>
                <w:sz w:val="22"/>
                <w:szCs w:val="22"/>
              </w:rPr>
            </w:pPr>
            <w:r>
              <w:rPr>
                <w:rFonts w:ascii="Arial" w:hAnsi="Arial" w:cs="Arial"/>
                <w:sz w:val="22"/>
                <w:szCs w:val="22"/>
              </w:rPr>
              <w:t xml:space="preserve">13.5 </w:t>
            </w:r>
          </w:p>
        </w:tc>
        <w:tc>
          <w:tcPr>
            <w:tcW w:w="1350" w:type="dxa"/>
          </w:tcPr>
          <w:p w:rsidR="00F236C7" w:rsidRDefault="003E5815" w:rsidP="007400FA">
            <w:pPr>
              <w:tabs>
                <w:tab w:val="left" w:pos="9360"/>
              </w:tabs>
              <w:jc w:val="center"/>
              <w:rPr>
                <w:rFonts w:ascii="Arial" w:hAnsi="Arial" w:cs="Arial"/>
                <w:sz w:val="22"/>
                <w:szCs w:val="22"/>
              </w:rPr>
            </w:pPr>
            <w:r>
              <w:rPr>
                <w:rFonts w:ascii="Arial" w:hAnsi="Arial" w:cs="Arial"/>
                <w:sz w:val="22"/>
                <w:szCs w:val="22"/>
              </w:rPr>
              <w:t xml:space="preserve">4.9 </w:t>
            </w:r>
          </w:p>
        </w:tc>
        <w:tc>
          <w:tcPr>
            <w:tcW w:w="1350" w:type="dxa"/>
          </w:tcPr>
          <w:p w:rsidR="00F236C7" w:rsidRDefault="003E5815" w:rsidP="007400FA">
            <w:pPr>
              <w:tabs>
                <w:tab w:val="left" w:pos="9360"/>
              </w:tabs>
              <w:jc w:val="center"/>
              <w:rPr>
                <w:rFonts w:ascii="Arial" w:hAnsi="Arial" w:cs="Arial"/>
                <w:sz w:val="22"/>
                <w:szCs w:val="22"/>
              </w:rPr>
            </w:pPr>
            <w:r>
              <w:rPr>
                <w:rFonts w:ascii="Arial" w:hAnsi="Arial" w:cs="Arial"/>
                <w:sz w:val="22"/>
                <w:szCs w:val="22"/>
              </w:rPr>
              <w:t xml:space="preserve">81.6 </w:t>
            </w:r>
          </w:p>
        </w:tc>
      </w:tr>
      <w:tr w:rsidR="00FC5AE8" w:rsidTr="00F236C7">
        <w:tc>
          <w:tcPr>
            <w:tcW w:w="3348" w:type="dxa"/>
          </w:tcPr>
          <w:p w:rsidR="00FC5AE8" w:rsidRDefault="00FC5AE8" w:rsidP="007400FA">
            <w:pPr>
              <w:tabs>
                <w:tab w:val="left" w:pos="9360"/>
              </w:tabs>
              <w:rPr>
                <w:rFonts w:ascii="Arial" w:hAnsi="Arial" w:cs="Arial"/>
                <w:sz w:val="22"/>
                <w:szCs w:val="22"/>
              </w:rPr>
            </w:pPr>
            <w:r>
              <w:rPr>
                <w:rFonts w:ascii="Arial" w:hAnsi="Arial" w:cs="Arial"/>
                <w:sz w:val="22"/>
                <w:szCs w:val="22"/>
              </w:rPr>
              <w:t>Consumer issues</w:t>
            </w:r>
          </w:p>
        </w:tc>
        <w:tc>
          <w:tcPr>
            <w:tcW w:w="144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9.5 </w:t>
            </w:r>
          </w:p>
        </w:tc>
        <w:tc>
          <w:tcPr>
            <w:tcW w:w="135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5.2 </w:t>
            </w:r>
          </w:p>
        </w:tc>
        <w:tc>
          <w:tcPr>
            <w:tcW w:w="135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85.3 </w:t>
            </w:r>
          </w:p>
        </w:tc>
      </w:tr>
      <w:tr w:rsidR="00FC5AE8" w:rsidTr="00F236C7">
        <w:tc>
          <w:tcPr>
            <w:tcW w:w="3348" w:type="dxa"/>
          </w:tcPr>
          <w:p w:rsidR="00FC5AE8" w:rsidRDefault="00FC5AE8" w:rsidP="007400FA">
            <w:pPr>
              <w:tabs>
                <w:tab w:val="left" w:pos="9360"/>
              </w:tabs>
              <w:rPr>
                <w:rFonts w:ascii="Arial" w:hAnsi="Arial" w:cs="Arial"/>
                <w:sz w:val="22"/>
                <w:szCs w:val="22"/>
              </w:rPr>
            </w:pPr>
            <w:r>
              <w:rPr>
                <w:rFonts w:ascii="Arial" w:hAnsi="Arial" w:cs="Arial"/>
                <w:sz w:val="22"/>
                <w:szCs w:val="22"/>
              </w:rPr>
              <w:t>Traffic</w:t>
            </w:r>
          </w:p>
        </w:tc>
        <w:tc>
          <w:tcPr>
            <w:tcW w:w="144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8.6 </w:t>
            </w:r>
          </w:p>
        </w:tc>
        <w:tc>
          <w:tcPr>
            <w:tcW w:w="135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10.5 </w:t>
            </w:r>
          </w:p>
        </w:tc>
        <w:tc>
          <w:tcPr>
            <w:tcW w:w="1350" w:type="dxa"/>
          </w:tcPr>
          <w:p w:rsidR="00FC5AE8" w:rsidRDefault="00DE028A" w:rsidP="007400FA">
            <w:pPr>
              <w:tabs>
                <w:tab w:val="left" w:pos="9360"/>
              </w:tabs>
              <w:jc w:val="center"/>
              <w:rPr>
                <w:rFonts w:ascii="Arial" w:hAnsi="Arial" w:cs="Arial"/>
                <w:sz w:val="22"/>
                <w:szCs w:val="22"/>
              </w:rPr>
            </w:pPr>
            <w:r>
              <w:rPr>
                <w:rFonts w:ascii="Arial" w:hAnsi="Arial" w:cs="Arial"/>
                <w:sz w:val="22"/>
                <w:szCs w:val="22"/>
              </w:rPr>
              <w:t xml:space="preserve">80.9 </w:t>
            </w:r>
          </w:p>
        </w:tc>
      </w:tr>
    </w:tbl>
    <w:p w:rsidR="00FC5AE8" w:rsidRDefault="00FC5AE8" w:rsidP="007400FA">
      <w:pPr>
        <w:rPr>
          <w:rFonts w:ascii="Arial" w:hAnsi="Arial" w:cs="Arial"/>
          <w:sz w:val="22"/>
          <w:szCs w:val="22"/>
        </w:rPr>
      </w:pPr>
    </w:p>
    <w:p w:rsidR="00DE028A" w:rsidRDefault="001E33F5" w:rsidP="007400FA">
      <w:pPr>
        <w:rPr>
          <w:rFonts w:ascii="Arial" w:hAnsi="Arial" w:cs="Arial"/>
          <w:sz w:val="22"/>
          <w:szCs w:val="22"/>
        </w:rPr>
      </w:pPr>
      <w:proofErr w:type="gramStart"/>
      <w:r>
        <w:rPr>
          <w:rFonts w:ascii="Arial" w:hAnsi="Arial" w:cs="Arial"/>
          <w:sz w:val="22"/>
          <w:szCs w:val="22"/>
        </w:rPr>
        <w:t>So</w:t>
      </w:r>
      <w:proofErr w:type="gramEnd"/>
      <w:r>
        <w:rPr>
          <w:rFonts w:ascii="Arial" w:hAnsi="Arial" w:cs="Arial"/>
          <w:sz w:val="22"/>
          <w:szCs w:val="22"/>
        </w:rPr>
        <w:t xml:space="preserve"> what changed in the last four years?  In both cases, we were coming off an election year – albeit midterm elections, but that may have helped keep politics and government in first place for greater emphasis.  Beat reporting jumped from #5 to #2.  Education held steady at #3 – </w:t>
      </w:r>
      <w:r w:rsidR="0026293E">
        <w:rPr>
          <w:rFonts w:ascii="Arial" w:hAnsi="Arial" w:cs="Arial"/>
          <w:sz w:val="22"/>
          <w:szCs w:val="22"/>
        </w:rPr>
        <w:t>although it slid slightly in per</w:t>
      </w:r>
      <w:r>
        <w:rPr>
          <w:rFonts w:ascii="Arial" w:hAnsi="Arial" w:cs="Arial"/>
          <w:sz w:val="22"/>
          <w:szCs w:val="22"/>
        </w:rPr>
        <w:t xml:space="preserve">centage </w:t>
      </w:r>
      <w:r w:rsidR="00F41880">
        <w:rPr>
          <w:rFonts w:ascii="Arial" w:hAnsi="Arial" w:cs="Arial"/>
          <w:sz w:val="22"/>
          <w:szCs w:val="22"/>
        </w:rPr>
        <w:t>compared to</w:t>
      </w:r>
      <w:r>
        <w:rPr>
          <w:rFonts w:ascii="Arial" w:hAnsi="Arial" w:cs="Arial"/>
          <w:sz w:val="22"/>
          <w:szCs w:val="22"/>
        </w:rPr>
        <w:t xml:space="preserve"> four years ago.  Sports dropped from #2 to #4 – </w:t>
      </w:r>
      <w:r w:rsidR="0026293E">
        <w:rPr>
          <w:rFonts w:ascii="Arial" w:hAnsi="Arial" w:cs="Arial"/>
          <w:sz w:val="22"/>
          <w:szCs w:val="22"/>
        </w:rPr>
        <w:t xml:space="preserve">and had the biggest hit in percentage -- down almost 7 points from last time.  </w:t>
      </w:r>
      <w:r>
        <w:rPr>
          <w:rFonts w:ascii="Arial" w:hAnsi="Arial" w:cs="Arial"/>
          <w:sz w:val="22"/>
          <w:szCs w:val="22"/>
        </w:rPr>
        <w:t xml:space="preserve">Live reporting </w:t>
      </w:r>
      <w:r w:rsidR="0026293E">
        <w:rPr>
          <w:rFonts w:ascii="Arial" w:hAnsi="Arial" w:cs="Arial"/>
          <w:sz w:val="22"/>
          <w:szCs w:val="22"/>
        </w:rPr>
        <w:t xml:space="preserve">edged up 1 point and </w:t>
      </w:r>
      <w:r>
        <w:rPr>
          <w:rFonts w:ascii="Arial" w:hAnsi="Arial" w:cs="Arial"/>
          <w:sz w:val="22"/>
          <w:szCs w:val="22"/>
        </w:rPr>
        <w:t>moved up a place to #5.  Investigativ</w:t>
      </w:r>
      <w:r w:rsidR="0026293E">
        <w:rPr>
          <w:rFonts w:ascii="Arial" w:hAnsi="Arial" w:cs="Arial"/>
          <w:sz w:val="22"/>
          <w:szCs w:val="22"/>
        </w:rPr>
        <w:t xml:space="preserve">e reporting did much the same at #6.  Weather took the second-biggest hit, dropping 5.4 points to seventh place.  Consumer issues and traffic came in the last two slots – with consumer dropping from </w:t>
      </w:r>
      <w:r w:rsidR="007400FA">
        <w:rPr>
          <w:rFonts w:ascii="Arial" w:hAnsi="Arial" w:cs="Arial"/>
          <w:sz w:val="22"/>
          <w:szCs w:val="22"/>
        </w:rPr>
        <w:t>four</w:t>
      </w:r>
      <w:bookmarkStart w:id="0" w:name="_GoBack"/>
      <w:bookmarkEnd w:id="0"/>
      <w:r w:rsidR="0026293E">
        <w:rPr>
          <w:rFonts w:ascii="Arial" w:hAnsi="Arial" w:cs="Arial"/>
          <w:sz w:val="22"/>
          <w:szCs w:val="22"/>
        </w:rPr>
        <w:t xml:space="preserve"> years ago and traffic edging up.  </w:t>
      </w:r>
    </w:p>
    <w:p w:rsidR="00DE028A" w:rsidRDefault="00DE028A" w:rsidP="007400FA">
      <w:pPr>
        <w:rPr>
          <w:rFonts w:ascii="Arial" w:hAnsi="Arial" w:cs="Arial"/>
          <w:sz w:val="22"/>
          <w:szCs w:val="22"/>
        </w:rPr>
      </w:pPr>
    </w:p>
    <w:p w:rsidR="008064A8" w:rsidRDefault="008064A8" w:rsidP="007400FA">
      <w:pPr>
        <w:pStyle w:val="BodyText"/>
        <w:tabs>
          <w:tab w:val="left" w:pos="9360"/>
        </w:tabs>
      </w:pPr>
    </w:p>
    <w:p w:rsidR="007400FA" w:rsidRPr="008064A8" w:rsidRDefault="007400FA" w:rsidP="007400FA">
      <w:pPr>
        <w:pStyle w:val="BodyText"/>
        <w:tabs>
          <w:tab w:val="left" w:pos="9360"/>
        </w:tabs>
      </w:pPr>
    </w:p>
    <w:p w:rsidR="008064A8" w:rsidRPr="008064A8" w:rsidRDefault="008064A8" w:rsidP="007400FA">
      <w:pPr>
        <w:rPr>
          <w:rFonts w:ascii="Arial" w:hAnsi="Arial" w:cs="Arial"/>
          <w:b/>
          <w:bCs/>
          <w:sz w:val="22"/>
          <w:szCs w:val="22"/>
        </w:rPr>
      </w:pPr>
      <w:r w:rsidRPr="008064A8">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8064A8" w:rsidRPr="008064A8" w:rsidRDefault="008064A8" w:rsidP="007400FA">
      <w:pPr>
        <w:rPr>
          <w:rFonts w:ascii="Arial" w:hAnsi="Arial" w:cs="Arial"/>
          <w:sz w:val="22"/>
          <w:szCs w:val="22"/>
        </w:rPr>
      </w:pPr>
    </w:p>
    <w:p w:rsidR="008064A8" w:rsidRPr="008064A8" w:rsidRDefault="008064A8" w:rsidP="007400FA">
      <w:pPr>
        <w:rPr>
          <w:rFonts w:ascii="Arial" w:hAnsi="Arial" w:cs="Arial"/>
          <w:sz w:val="22"/>
          <w:szCs w:val="22"/>
        </w:rPr>
      </w:pPr>
    </w:p>
    <w:p w:rsidR="008064A8" w:rsidRPr="008064A8" w:rsidRDefault="008064A8" w:rsidP="007400FA">
      <w:pPr>
        <w:outlineLvl w:val="0"/>
        <w:rPr>
          <w:rFonts w:ascii="Arial" w:hAnsi="Arial" w:cs="Arial"/>
          <w:sz w:val="22"/>
          <w:szCs w:val="22"/>
        </w:rPr>
      </w:pPr>
      <w:r w:rsidRPr="008064A8">
        <w:rPr>
          <w:rFonts w:ascii="Arial" w:hAnsi="Arial" w:cs="Arial"/>
          <w:b/>
          <w:bCs/>
          <w:sz w:val="22"/>
          <w:szCs w:val="22"/>
        </w:rPr>
        <w:t>About the Survey</w:t>
      </w:r>
    </w:p>
    <w:p w:rsidR="008064A8" w:rsidRPr="00B10B11" w:rsidRDefault="008064A8" w:rsidP="007400FA">
      <w:pPr>
        <w:rPr>
          <w:rFonts w:ascii="Arial" w:hAnsi="Arial" w:cs="Arial"/>
          <w:sz w:val="22"/>
          <w:szCs w:val="22"/>
        </w:rPr>
      </w:pPr>
    </w:p>
    <w:p w:rsidR="00B10B11" w:rsidRPr="00B10B11" w:rsidRDefault="00B10B11" w:rsidP="007400FA">
      <w:pPr>
        <w:rPr>
          <w:rFonts w:ascii="Arial" w:hAnsi="Arial" w:cs="Arial"/>
          <w:sz w:val="22"/>
          <w:szCs w:val="22"/>
        </w:rPr>
      </w:pPr>
      <w:r w:rsidRPr="00B10B11">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rsidR="008064A8" w:rsidRPr="00B10B11" w:rsidRDefault="008064A8" w:rsidP="007400FA">
      <w:pPr>
        <w:rPr>
          <w:rFonts w:ascii="Arial" w:hAnsi="Arial" w:cs="Arial"/>
          <w:sz w:val="22"/>
          <w:szCs w:val="22"/>
        </w:rPr>
      </w:pPr>
    </w:p>
    <w:p w:rsidR="00FC5AE8" w:rsidRPr="00B10B11" w:rsidRDefault="00FC5AE8" w:rsidP="007400FA">
      <w:pPr>
        <w:rPr>
          <w:rFonts w:ascii="Arial" w:hAnsi="Arial" w:cs="Arial"/>
          <w:sz w:val="22"/>
          <w:szCs w:val="22"/>
        </w:rPr>
      </w:pPr>
    </w:p>
    <w:p w:rsidR="00C21F38" w:rsidRDefault="00C21F38" w:rsidP="007400FA"/>
    <w:sectPr w:rsidR="00C21F38"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73E77"/>
    <w:multiLevelType w:val="hybridMultilevel"/>
    <w:tmpl w:val="2E32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E8"/>
    <w:rsid w:val="00045520"/>
    <w:rsid w:val="0007623E"/>
    <w:rsid w:val="001718B5"/>
    <w:rsid w:val="001803FA"/>
    <w:rsid w:val="001E33F5"/>
    <w:rsid w:val="001F2F42"/>
    <w:rsid w:val="00231C7A"/>
    <w:rsid w:val="0026293E"/>
    <w:rsid w:val="002E01D0"/>
    <w:rsid w:val="00354FCF"/>
    <w:rsid w:val="00383E4A"/>
    <w:rsid w:val="003E5815"/>
    <w:rsid w:val="00443DD5"/>
    <w:rsid w:val="004D342D"/>
    <w:rsid w:val="004D7307"/>
    <w:rsid w:val="005069C2"/>
    <w:rsid w:val="00516914"/>
    <w:rsid w:val="005A5DCD"/>
    <w:rsid w:val="005C76DE"/>
    <w:rsid w:val="00652FBC"/>
    <w:rsid w:val="00657BC7"/>
    <w:rsid w:val="006A2E37"/>
    <w:rsid w:val="006E4562"/>
    <w:rsid w:val="007400FA"/>
    <w:rsid w:val="007834E1"/>
    <w:rsid w:val="008064A8"/>
    <w:rsid w:val="00826614"/>
    <w:rsid w:val="008C7CD7"/>
    <w:rsid w:val="0090764E"/>
    <w:rsid w:val="00955B60"/>
    <w:rsid w:val="009A162E"/>
    <w:rsid w:val="00AE3054"/>
    <w:rsid w:val="00B10B11"/>
    <w:rsid w:val="00BA7A3B"/>
    <w:rsid w:val="00BD6181"/>
    <w:rsid w:val="00BE3423"/>
    <w:rsid w:val="00C21F38"/>
    <w:rsid w:val="00D728EC"/>
    <w:rsid w:val="00DE028A"/>
    <w:rsid w:val="00EA3329"/>
    <w:rsid w:val="00EC2405"/>
    <w:rsid w:val="00F17099"/>
    <w:rsid w:val="00F236C7"/>
    <w:rsid w:val="00F41880"/>
    <w:rsid w:val="00F65B7C"/>
    <w:rsid w:val="00FA0014"/>
    <w:rsid w:val="00FC1D22"/>
    <w:rsid w:val="00FC1E14"/>
    <w:rsid w:val="00FC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B205"/>
  <w15:docId w15:val="{225AB0E9-F690-4C92-8F51-457A933E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C5AE8"/>
    <w:pPr>
      <w:suppressAutoHyphens/>
      <w:autoSpaceDN w:val="0"/>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pPr>
      <w:suppressAutoHyphens w:val="0"/>
      <w:autoSpaceDN/>
      <w:textAlignment w:val="auto"/>
    </w:pPr>
    <w:rPr>
      <w:rFonts w:ascii="Arial" w:eastAsiaTheme="majorEastAsia" w:hAnsi="Arial" w:cs="Arial"/>
      <w:sz w:val="20"/>
      <w:szCs w:val="20"/>
    </w:rPr>
  </w:style>
  <w:style w:type="paragraph" w:styleId="EnvelopeAddress">
    <w:name w:val="envelope address"/>
    <w:basedOn w:val="Normal"/>
    <w:uiPriority w:val="99"/>
    <w:semiHidden/>
    <w:unhideWhenUsed/>
    <w:rsid w:val="00BE3423"/>
    <w:pPr>
      <w:framePr w:w="7920" w:h="1980" w:hRule="exact" w:hSpace="180" w:wrap="auto" w:hAnchor="page" w:xAlign="center" w:yAlign="bottom"/>
      <w:suppressAutoHyphens w:val="0"/>
      <w:autoSpaceDN/>
      <w:ind w:left="2880"/>
      <w:textAlignment w:val="auto"/>
    </w:pPr>
    <w:rPr>
      <w:rFonts w:ascii="Arial" w:eastAsiaTheme="majorEastAsia" w:hAnsi="Arial" w:cstheme="majorBidi"/>
      <w:sz w:val="22"/>
    </w:rPr>
  </w:style>
  <w:style w:type="table" w:styleId="TableGrid">
    <w:name w:val="Table Grid"/>
    <w:basedOn w:val="TableNormal"/>
    <w:rsid w:val="00FC5AE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4E1"/>
    <w:pPr>
      <w:ind w:left="720"/>
      <w:contextualSpacing/>
    </w:pPr>
  </w:style>
  <w:style w:type="paragraph" w:styleId="BodyText">
    <w:name w:val="Body Text"/>
    <w:basedOn w:val="Normal"/>
    <w:link w:val="BodyTextChar"/>
    <w:rsid w:val="008064A8"/>
    <w:pPr>
      <w:suppressAutoHyphens w:val="0"/>
      <w:autoSpaceDN/>
      <w:textAlignment w:val="auto"/>
    </w:pPr>
    <w:rPr>
      <w:rFonts w:ascii="Arial" w:hAnsi="Arial" w:cs="Arial"/>
      <w:sz w:val="22"/>
    </w:rPr>
  </w:style>
  <w:style w:type="character" w:customStyle="1" w:styleId="BodyTextChar">
    <w:name w:val="Body Text Char"/>
    <w:basedOn w:val="DefaultParagraphFont"/>
    <w:link w:val="BodyText"/>
    <w:rsid w:val="008064A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Papper</cp:lastModifiedBy>
  <cp:revision>2</cp:revision>
  <dcterms:created xsi:type="dcterms:W3CDTF">2019-03-07T16:15:00Z</dcterms:created>
  <dcterms:modified xsi:type="dcterms:W3CDTF">2019-03-07T16:15:00Z</dcterms:modified>
</cp:coreProperties>
</file>